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56" w:rsidRPr="006D309B" w:rsidRDefault="00130456" w:rsidP="00C26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09B">
        <w:rPr>
          <w:rFonts w:ascii="Times New Roman" w:eastAsia="Calibri" w:hAnsi="Times New Roman" w:cs="Times New Roman"/>
          <w:b/>
          <w:sz w:val="24"/>
          <w:szCs w:val="24"/>
        </w:rPr>
        <w:t>Formular-cadru Propunere Tehnică</w:t>
      </w:r>
    </w:p>
    <w:p w:rsidR="00130456" w:rsidRPr="006D309B" w:rsidRDefault="00130456" w:rsidP="00C262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Numele Candidatului (operator economic individual sau asociere de operatori economici): </w:t>
      </w:r>
      <w:r w:rsidRPr="006D309B">
        <w:rPr>
          <w:rFonts w:ascii="Times New Roman" w:hAnsi="Times New Roman" w:cs="Times New Roman"/>
          <w:i/>
          <w:sz w:val="24"/>
          <w:szCs w:val="24"/>
        </w:rPr>
        <w:t>[introduceți]</w:t>
      </w:r>
    </w:p>
    <w:p w:rsidR="00130456" w:rsidRPr="006D309B" w:rsidRDefault="00130456" w:rsidP="00C26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456" w:rsidRPr="006D309B" w:rsidRDefault="00130456" w:rsidP="00C26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30456" w:rsidRPr="006D309B" w:rsidRDefault="00130456" w:rsidP="00C26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hAnsi="Times New Roman" w:cs="Times New Roman"/>
          <w:sz w:val="24"/>
          <w:szCs w:val="24"/>
        </w:rPr>
        <w:t>Data:</w:t>
      </w:r>
      <w:r w:rsidRPr="006D309B">
        <w:rPr>
          <w:rFonts w:ascii="Times New Roman" w:hAnsi="Times New Roman" w:cs="Times New Roman"/>
          <w:i/>
          <w:sz w:val="24"/>
          <w:szCs w:val="24"/>
        </w:rPr>
        <w:t xml:space="preserve"> [ZZ/LL/AAAA]</w:t>
      </w:r>
    </w:p>
    <w:p w:rsidR="00130456" w:rsidRPr="006D309B" w:rsidRDefault="00130456" w:rsidP="00C26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hAnsi="Times New Roman" w:cs="Times New Roman"/>
          <w:i/>
          <w:sz w:val="24"/>
          <w:szCs w:val="24"/>
        </w:rPr>
        <w:t>Anunț de participare: [introduceți numărul anunțului de participare]</w:t>
      </w:r>
    </w:p>
    <w:p w:rsidR="00130456" w:rsidRPr="00697960" w:rsidRDefault="00130456" w:rsidP="00C2627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067D9">
        <w:rPr>
          <w:rFonts w:ascii="Times New Roman" w:hAnsi="Times New Roman" w:cs="Times New Roman"/>
          <w:i/>
          <w:sz w:val="24"/>
          <w:szCs w:val="24"/>
        </w:rPr>
        <w:t xml:space="preserve">Obiectul contractului: </w:t>
      </w:r>
      <w:r w:rsidR="00697960" w:rsidRPr="00697960">
        <w:rPr>
          <w:rFonts w:ascii="Times New Roman" w:hAnsi="Times New Roman" w:cs="Times New Roman"/>
          <w:b/>
          <w:i/>
          <w:sz w:val="24"/>
          <w:szCs w:val="24"/>
          <w:lang w:val="fr-FR"/>
        </w:rPr>
        <w:t>,</w:t>
      </w:r>
      <w:r w:rsidR="00697960" w:rsidRPr="00697960">
        <w:rPr>
          <w:rFonts w:ascii="Times New Roman" w:hAnsi="Times New Roman" w:cs="Times New Roman"/>
          <w:b/>
          <w:i/>
          <w:sz w:val="24"/>
          <w:szCs w:val="24"/>
        </w:rPr>
        <w:t xml:space="preserve">,Etalonare/Verificare metrologica a etaloanelor si mijloacelor de </w:t>
      </w:r>
      <w:proofErr w:type="spellStart"/>
      <w:r w:rsidR="00697960" w:rsidRPr="00697960">
        <w:rPr>
          <w:rFonts w:ascii="Times New Roman" w:hAnsi="Times New Roman" w:cs="Times New Roman"/>
          <w:b/>
          <w:i/>
          <w:sz w:val="24"/>
          <w:szCs w:val="24"/>
        </w:rPr>
        <w:t>masurare</w:t>
      </w:r>
      <w:proofErr w:type="spellEnd"/>
      <w:r w:rsidR="00697960" w:rsidRPr="00697960">
        <w:rPr>
          <w:rFonts w:ascii="Times New Roman" w:hAnsi="Times New Roman" w:cs="Times New Roman"/>
          <w:b/>
          <w:i/>
          <w:sz w:val="24"/>
          <w:szCs w:val="24"/>
        </w:rPr>
        <w:t xml:space="preserve"> - S.E. Turceni’’</w:t>
      </w:r>
    </w:p>
    <w:p w:rsidR="00130456" w:rsidRPr="008067D9" w:rsidRDefault="00130456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456" w:rsidRPr="006D309B" w:rsidRDefault="00130456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[Informațiile prezentate de către Ofertanți în acest formular reprezintă fundament pentru:</w:t>
      </w:r>
    </w:p>
    <w:p w:rsidR="00130456" w:rsidRPr="00697960" w:rsidRDefault="00130456" w:rsidP="00C26277">
      <w:pPr>
        <w:pStyle w:val="ListParagraph"/>
        <w:numPr>
          <w:ilvl w:val="0"/>
          <w:numId w:val="1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evaluarea Propunerii Tehnice conform metodologiei stabilite prin Documentația de Atribuire</w:t>
      </w:r>
      <w:r w:rsidRPr="00697960">
        <w:rPr>
          <w:sz w:val="16"/>
          <w:szCs w:val="16"/>
          <w:lang w:val="ro-RO"/>
        </w:rPr>
        <w:t xml:space="preserve"> </w:t>
      </w:r>
      <w:r w:rsidRPr="00697960">
        <w:rPr>
          <w:i/>
          <w:sz w:val="16"/>
          <w:szCs w:val="16"/>
          <w:lang w:val="ro-RO"/>
        </w:rPr>
        <w:t xml:space="preserve">în corelație cu cerințele minime din </w:t>
      </w:r>
      <w:proofErr w:type="spellStart"/>
      <w:r w:rsidR="004F73E1" w:rsidRPr="00697960">
        <w:rPr>
          <w:i/>
          <w:sz w:val="16"/>
          <w:szCs w:val="16"/>
          <w:lang w:val="ro-RO"/>
        </w:rPr>
        <w:t>Documentatia</w:t>
      </w:r>
      <w:proofErr w:type="spellEnd"/>
      <w:r w:rsidR="004F73E1" w:rsidRPr="00697960">
        <w:rPr>
          <w:i/>
          <w:sz w:val="16"/>
          <w:szCs w:val="16"/>
          <w:lang w:val="ro-RO"/>
        </w:rPr>
        <w:t xml:space="preserve"> de Atribuire</w:t>
      </w:r>
      <w:r w:rsidRPr="00697960">
        <w:rPr>
          <w:i/>
          <w:sz w:val="16"/>
          <w:szCs w:val="16"/>
          <w:lang w:val="ro-RO"/>
        </w:rPr>
        <w:t>,</w:t>
      </w:r>
    </w:p>
    <w:p w:rsidR="00130456" w:rsidRPr="00697960" w:rsidRDefault="00130456" w:rsidP="00C26277">
      <w:pPr>
        <w:pStyle w:val="ListParagraph"/>
        <w:numPr>
          <w:ilvl w:val="0"/>
          <w:numId w:val="1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aplicarea criteriului de atribuire conform metodologiei stabilite prin Documentația de Atribuire.]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[Toate informațiile solicitate în cele ce urmează reprezintă elemente cheie obligatorii ale Propunerii Tehnice.]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Ofertanții trebuie să prezinte Propunerea Tehnică ca parte a Ofertei, orice alte anexe considerate relevante de către acesta pentru:</w:t>
      </w:r>
    </w:p>
    <w:p w:rsidR="00130456" w:rsidRPr="00697960" w:rsidRDefault="00130456" w:rsidP="00C26277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demonstrarea îndeplinirii cerințelor minime</w:t>
      </w:r>
    </w:p>
    <w:p w:rsidR="00130456" w:rsidRPr="00697960" w:rsidRDefault="00130456" w:rsidP="00C26277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obținerea unui punctaj ca urmare a aplicării criteriului de atribuire</w:t>
      </w:r>
    </w:p>
    <w:p w:rsidR="00130456" w:rsidRPr="00697960" w:rsidRDefault="00130456" w:rsidP="00C26277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evidențierea beneficiilor pe care le oferă Autorității Contractante].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Prezentarea unei Propuneri Tehnice care nu include informațiile solicitate de Autoritatea Contractantă ca răspuns la cerințele minime stabilite poate atrage neconformitatea Ofertei. Simpla copiere a cerințelor din Caietul de Sarcini nu este considerată drept răspuns la cerințele Autorității Contractante.</w:t>
      </w:r>
    </w:p>
    <w:p w:rsidR="00130456" w:rsidRPr="006D309B" w:rsidRDefault="00130456" w:rsidP="00C26277">
      <w:pPr>
        <w:pStyle w:val="Heading1"/>
        <w:spacing w:before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 w:rsidR="00130456" w:rsidRPr="006D309B" w:rsidRDefault="00130456" w:rsidP="00C262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Se recomandă ca Propunerea Tehnică să </w:t>
      </w:r>
      <w:r w:rsidR="00454645">
        <w:rPr>
          <w:rFonts w:ascii="Times New Roman" w:eastAsia="Calibri" w:hAnsi="Times New Roman" w:cs="Times New Roman"/>
          <w:i/>
          <w:sz w:val="24"/>
          <w:szCs w:val="24"/>
        </w:rPr>
        <w:t xml:space="preserve">fie </w:t>
      </w:r>
      <w:proofErr w:type="spellStart"/>
      <w:r w:rsidR="00454645">
        <w:rPr>
          <w:rFonts w:ascii="Times New Roman" w:eastAsia="Calibri" w:hAnsi="Times New Roman" w:cs="Times New Roman"/>
          <w:i/>
          <w:sz w:val="24"/>
          <w:szCs w:val="24"/>
        </w:rPr>
        <w:t>intocmit</w:t>
      </w:r>
      <w:r w:rsidRPr="006D309B">
        <w:rPr>
          <w:rFonts w:ascii="Times New Roman" w:eastAsia="Calibri" w:hAnsi="Times New Roman" w:cs="Times New Roman"/>
          <w:i/>
          <w:sz w:val="24"/>
          <w:szCs w:val="24"/>
        </w:rPr>
        <w:t>ă</w:t>
      </w:r>
      <w:proofErr w:type="spellEnd"/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54645">
        <w:rPr>
          <w:rFonts w:ascii="Times New Roman" w:eastAsia="Calibri" w:hAnsi="Times New Roman" w:cs="Times New Roman"/>
          <w:i/>
          <w:sz w:val="24"/>
          <w:szCs w:val="24"/>
        </w:rPr>
        <w:t>conform tabelului de mai jos</w:t>
      </w:r>
      <w:r w:rsidRPr="006D309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30456" w:rsidRDefault="00130456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645" w:rsidRDefault="00454645" w:rsidP="00C26277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nr. 1</w:t>
      </w:r>
    </w:p>
    <w:p w:rsidR="00454645" w:rsidRPr="006D309B" w:rsidRDefault="00454645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4120"/>
        <w:gridCol w:w="5940"/>
      </w:tblGrid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sz w:val="24"/>
                <w:lang w:val="ro-RO"/>
              </w:rPr>
            </w:pPr>
            <w:r w:rsidRPr="006D309B">
              <w:rPr>
                <w:rFonts w:eastAsia="Calibri"/>
                <w:sz w:val="24"/>
                <w:lang w:val="ro-RO"/>
              </w:rPr>
              <w:t>Cerința minimă din Caietul de Sarcini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sz w:val="24"/>
                <w:lang w:val="ro-RO"/>
              </w:rPr>
              <w:t xml:space="preserve">Modalitatea de îndeplinire a cerinței </w:t>
            </w:r>
          </w:p>
        </w:tc>
      </w:tr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[Introduceți cerințele minime din Caietul de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  <w:t xml:space="preserve"> 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Sarcini referitoare la rezultat/document ce rezultă la finalul unei activități]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[Prezentați modalitatea efectivă de îndeplinire a cerinței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  <w:t xml:space="preserve"> 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minime]</w:t>
            </w:r>
          </w:p>
        </w:tc>
      </w:tr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</w:p>
        </w:tc>
      </w:tr>
    </w:tbl>
    <w:p w:rsidR="00130456" w:rsidRDefault="00130456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637" w:rsidRDefault="00A86637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637" w:rsidRDefault="00A86637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</w:p>
    <w:p w:rsidR="00A86637" w:rsidRDefault="00A86637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0B5D" w:rsidSect="00B05501">
          <w:footerReference w:type="default" r:id="rId7"/>
          <w:pgSz w:w="11906" w:h="16838" w:code="9"/>
          <w:pgMar w:top="567" w:right="567" w:bottom="567" w:left="1418" w:header="284" w:footer="284" w:gutter="0"/>
          <w:cols w:space="708"/>
          <w:docGrid w:linePitch="360"/>
        </w:sect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Pr="006D309B" w:rsidRDefault="009C0B5D" w:rsidP="00C26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nr. 1 la </w:t>
      </w:r>
      <w:r w:rsidRPr="006D309B">
        <w:rPr>
          <w:rFonts w:ascii="Times New Roman" w:eastAsia="Calibri" w:hAnsi="Times New Roman" w:cs="Times New Roman"/>
          <w:b/>
          <w:sz w:val="24"/>
          <w:szCs w:val="24"/>
        </w:rPr>
        <w:t>Formular-cadru Propunere Tehnică</w:t>
      </w: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620"/>
        <w:gridCol w:w="8264"/>
        <w:gridCol w:w="1080"/>
        <w:gridCol w:w="2680"/>
      </w:tblGrid>
      <w:tr w:rsidR="002A7398" w:rsidRPr="002A7398" w:rsidTr="00C26277">
        <w:trPr>
          <w:trHeight w:val="315"/>
        </w:trPr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Nr. crt.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Nr. cap.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Specificaţii</w:t>
            </w:r>
            <w:proofErr w:type="spellEnd"/>
          </w:p>
        </w:tc>
        <w:tc>
          <w:tcPr>
            <w:tcW w:w="12024" w:type="dxa"/>
            <w:gridSpan w:val="3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500" w:firstLine="28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Cerinţă</w:t>
            </w:r>
            <w:proofErr w:type="spellEnd"/>
          </w:p>
        </w:tc>
      </w:tr>
      <w:tr w:rsidR="002A7398" w:rsidRPr="002A7398" w:rsidTr="00C26277">
        <w:trPr>
          <w:trHeight w:val="765"/>
        </w:trPr>
        <w:tc>
          <w:tcPr>
            <w:tcW w:w="1080" w:type="dxa"/>
            <w:vMerge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solicitată prin caietul de sarcini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ofertată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poziţia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 xml:space="preserve">/locul unde se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regăseşte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 xml:space="preserve"> în ofertă (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fişe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/cataloage/ desene etc.)</w:t>
            </w:r>
          </w:p>
        </w:tc>
      </w:tr>
      <w:tr w:rsidR="002A7398" w:rsidRPr="002A7398" w:rsidTr="00C26277">
        <w:trPr>
          <w:trHeight w:hRule="exact" w:val="31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2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4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5</w:t>
            </w:r>
          </w:p>
        </w:tc>
      </w:tr>
      <w:tr w:rsidR="002A7398" w:rsidRPr="002A7398" w:rsidTr="00C26277">
        <w:trPr>
          <w:trHeight w:hRule="exact" w:val="51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II.l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Denumire servicii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„Servicii de verificare metrologica/etalonare la mijloacele de măsurare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C26277">
        <w:trPr>
          <w:trHeight w:hRule="exact" w:val="31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11.2.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Cantitate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Conform Anexa nr. 1 la caietul de sarcini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122EFF" w:rsidRPr="002A7398" w:rsidTr="00C26277">
        <w:trPr>
          <w:trHeight w:val="3517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1II.1.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Specificaţii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tehnice minimale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Ofertantul va asigura efectuarea serviciilor de verificare/etalonare la echipamentele de măsurare conform Anexa nr. 1 la caietul de sarcini.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Verificarea metrologica periodica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Stabileşte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conformitatea mijlocului de măsurare, respectiv cu modelul aprobat si/sau cu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cerinţele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aplicabile din reglementările de metrologie legala care s-au utilizat la verificarea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iniţiala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. Etalonarea-ansamblu de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care stabilesc, in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condiţii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specificate,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relaţia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dintre valorile unei mărimi indicate de un aparat de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masurat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sau un sistem de măsurare, sau valorile reprezentate de o măsură sau un material de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referinţa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si valorile corespunzătoare realizate cu etaloane.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Pentru prestarea serviciilor, ofertantul trebuie să aplice si să respecte următoarele normative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acte normative:</w:t>
            </w:r>
          </w:p>
          <w:p w:rsidR="00122EFF" w:rsidRPr="002A7398" w:rsidRDefault="00122EFF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Se va asigura personal de prestare calificat si autorizat.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122EFF" w:rsidRPr="002A7398" w:rsidTr="00C26277">
        <w:trPr>
          <w:trHeight w:val="6738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lastRenderedPageBreak/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Ofertantul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isi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asuma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intreaga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responsabilitate pentru toate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operaţiile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executate.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Buletinele de verificare metrologică trebuie sa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conţină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:</w:t>
            </w:r>
          </w:p>
          <w:p w:rsidR="00122EFF" w:rsidRPr="002A7398" w:rsidRDefault="009809D7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datele de identificare ale laboratorului care a efectuat verificarea metrologică;</w:t>
            </w:r>
          </w:p>
          <w:p w:rsidR="00122EFF" w:rsidRPr="002A7398" w:rsidRDefault="009809D7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numărul </w:t>
            </w:r>
            <w:proofErr w:type="spellStart"/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data documentului;</w:t>
            </w:r>
          </w:p>
          <w:p w:rsidR="00122EFF" w:rsidRPr="002A7398" w:rsidRDefault="009809D7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datele de identificare ale mijlocului de măsurare verificat;</w:t>
            </w:r>
          </w:p>
          <w:p w:rsidR="00122EFF" w:rsidRPr="002A7398" w:rsidRDefault="009809D7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proofErr w:type="spellStart"/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referinţa</w:t>
            </w:r>
            <w:proofErr w:type="spellEnd"/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la reglementarea/reglementările aplicate;</w:t>
            </w:r>
          </w:p>
          <w:p w:rsidR="00122EFF" w:rsidRPr="002A7398" w:rsidRDefault="009809D7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datele de identificare ale etalonului/echipamentului de verificat utilizat;</w:t>
            </w:r>
          </w:p>
          <w:p w:rsidR="00122EFF" w:rsidRPr="002A7398" w:rsidRDefault="009809D7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rezultatul verificării metrologice, sub forma ADMIS/RESPINS; 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valabilitatea verificării metrologice;</w:t>
            </w:r>
          </w:p>
          <w:p w:rsidR="00122EFF" w:rsidRPr="002A7398" w:rsidRDefault="009809D7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datele de identificare </w:t>
            </w:r>
            <w:proofErr w:type="spellStart"/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="00122EFF"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semnătura verificatorului metrolog.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Prin intermediul certificatelor de etalonare trebuie: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-să se raporteze rezultatele etalonărilor clar, fără ambiguitate, obiectiv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concordanţă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cu prevederile procedurilor asociate metodelor de validare utilizate;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-să se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menţioneze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toate rezultatele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toate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informaţiile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necesare pentru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înţelegerea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interpretarea certificatelor de etalonare;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calibrare-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fixare a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poziţiilor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reperelor scării unui mijloc de măsurare (în anumite cazuri numai a unor repere principale) in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funcţie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valorile corespunzătoare ale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măsurandului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Laboratorul de metrologie si personalul trebuie sa fie autorizat conform art.7 din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instrucţiunile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metrologie legala I.M.L 5-05- Autorizarea persoanelor fizice si juridice care efectuează verificări metrologice, aprobate prin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Hotararea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Guvernului nr. 1660/2005, cu modificările si completările ulterioare.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9809D7" w:rsidRPr="002A7398" w:rsidTr="00C26277">
        <w:trPr>
          <w:trHeight w:val="347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9809D7" w:rsidRPr="002A7398" w:rsidRDefault="009809D7" w:rsidP="00C2627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o-RO"/>
              </w:rPr>
              <w:lastRenderedPageBreak/>
              <w:t>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9809D7" w:rsidRPr="002A7398" w:rsidRDefault="009809D7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III.2.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809D7" w:rsidRPr="002A7398" w:rsidRDefault="009809D7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Legislaţie</w:t>
            </w:r>
            <w:proofErr w:type="spellEnd"/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9809D7" w:rsidRPr="002A7398" w:rsidRDefault="009809D7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Ordonanţa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Guvernului nr. 20/1992 privind activitatea de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metrologie,aprobata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cu modificări prin Legea nr. 11/1994, cu modificările si completările ulterioare.</w:t>
            </w:r>
          </w:p>
          <w:p w:rsidR="009809D7" w:rsidRPr="002A7398" w:rsidRDefault="009809D7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Hotararea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Guvernului nr. 1055/2001 privind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condiţiile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introducere pe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piaţa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mijloacelor de măsurare.</w:t>
            </w:r>
          </w:p>
          <w:p w:rsidR="00764C08" w:rsidRDefault="009809D7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Hotararea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nr. 710/2015 privind stabilirea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condiţiilor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pentru punere la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dispoziţie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piaţa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aparatelor de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cantarit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funcţionare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neautomata; Ordinul nr. 148/2016 pentru aprobarea Listei oficiale a mijloacelor de măsurare supuse controlului metrologic legal LO.2016 </w:t>
            </w:r>
          </w:p>
          <w:p w:rsidR="009809D7" w:rsidRPr="002A7398" w:rsidRDefault="009809D7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Tarifele practicate pentru verificările metrologice ce se vor efectua sunt unice, reglementate la nivel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naţional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(LT 2009- Lista de tarife pentru lucrările efectuate de Biroul Român de Metrologie Legală, aprobată prin HG nr. 712-MOF 604/01.09.2009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L0- 2022- Lista mijloacelor de măsurare pentru B.R.M.L. efectuează etalonări -Ordinul nr. 356/2016).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9809D7" w:rsidRPr="002A7398" w:rsidRDefault="009809D7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9809D7" w:rsidRPr="002A7398" w:rsidRDefault="009809D7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C26277">
        <w:trPr>
          <w:trHeight w:hRule="exact" w:val="94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Standarde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SR EN ISO/IEC 17025:18 pentru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incercari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etalonarile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solicitate prin caietul de sarcini-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Cerinte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generale pentru competenta laboratoarelor de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incercari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si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etalonari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, sau echivalent.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C26277">
        <w:trPr>
          <w:trHeight w:hRule="exact" w:val="76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III.4.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Cerinţe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privind transportul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Transportul la si de la ofertant va fi asigurat de beneficiar pentru aparatele care sunt transportabile.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C26277">
        <w:trPr>
          <w:trHeight w:hRule="exact" w:val="94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IV.l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Loc de prestare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Sucursala Electrocentrale Turceni, str. Uzinei nr. 1,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oraş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Turceni,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judeţul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Gorj, pentru cele netransportabile, sau Ia sediul ofertantului pentru cele transportabile.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C26277">
        <w:trPr>
          <w:trHeight w:hRule="exact" w:val="51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IV.3.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Termen de prestare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12 luni de la înregistrarea contractului.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C26277">
        <w:trPr>
          <w:trHeight w:hRule="exact" w:val="772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VI.l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Documente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documentaţii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la propunere tehnică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Anexa nr. 1 la caietul de sarcini, fără valori financiare.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AB269E" w:rsidRPr="002A7398" w:rsidTr="00C26277">
        <w:trPr>
          <w:trHeight w:val="159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eastAsia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VI.3.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Documente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documentaţii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la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recepţie</w:t>
            </w:r>
            <w:proofErr w:type="spellEnd"/>
          </w:p>
        </w:tc>
        <w:tc>
          <w:tcPr>
            <w:tcW w:w="8264" w:type="dxa"/>
            <w:vMerge w:val="restart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La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, se vor prezenta de documentele:</w:t>
            </w:r>
          </w:p>
          <w:p w:rsidR="00AB269E" w:rsidRPr="002A7398" w:rsidRDefault="00AB269E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   buletine de verificare a echipamentelor verificate;</w:t>
            </w:r>
          </w:p>
          <w:p w:rsidR="00AB269E" w:rsidRPr="002A7398" w:rsidRDefault="00AB269E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  certificat de etalonare/buletin de verificare metrologica.</w:t>
            </w:r>
          </w:p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Documentele necesare la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se vor prezenta in limba romana si vor fi certificate de ofertant prin semnare.</w:t>
            </w:r>
          </w:p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Recepţia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serviciilor prestate se va face la Sucursala Electrocentrale Turceni, cu sediul in localitatea Turceni, str. Uzinei nr. 1,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judeţul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Gorj. La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recepţia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echipamentelor verificate/etalonate metrologic, gestionarul EM-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urilor,verifica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daca buletinele metrologice/certificatele de etalonare ce le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însoţesc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conţin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informaţii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referitoare la:</w:t>
            </w:r>
          </w:p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-Tip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aparat,serie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si localizare;</w:t>
            </w:r>
          </w:p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-Caracteristica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masurata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si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referenţialul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;</w:t>
            </w:r>
          </w:p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-Identificarea persoanei care a întocmit buletinul de verificare/certificatele de etalonare si a celei care l-a aprobat (nume, prenume si semnătură acestora);</w:t>
            </w:r>
          </w:p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-Data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intocmirii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;</w:t>
            </w:r>
          </w:p>
          <w:p w:rsidR="00AB269E" w:rsidRDefault="00AB269E" w:rsidP="00C2627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Valabilitatea verificării metrologice/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certificarii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etalonarii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calibrarii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. </w:t>
            </w:r>
          </w:p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Receptia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se consideră încheiată numai după ce prestatorul va răspunde în totalitate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cerintelor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tehnice impuse prin prezentul caiet de sarcini. Prestatorul suportă toate costurile suplimentare generate de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operaţiile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necesare remedierii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a încercărilor efectuate după eliminarea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/>
              </w:rPr>
              <w:t xml:space="preserve"> pentru serviciile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lastRenderedPageBreak/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AB269E" w:rsidRPr="002A7398" w:rsidTr="00C26277">
        <w:trPr>
          <w:trHeight w:val="5039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lastRenderedPageBreak/>
              <w:t>11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VII.l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Cerinţe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privind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recepţiile</w:t>
            </w:r>
            <w:proofErr w:type="spellEnd"/>
          </w:p>
        </w:tc>
        <w:tc>
          <w:tcPr>
            <w:tcW w:w="8264" w:type="dxa"/>
            <w:vMerge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AB269E" w:rsidRPr="002A7398" w:rsidTr="00C26277">
        <w:trPr>
          <w:trHeight w:val="283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VIII.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Alte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cerinţe</w:t>
            </w:r>
            <w:proofErr w:type="spellEnd"/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condiţiile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acces in unitate a personalului si a mijloacelor de transport impuse prin „Regulament intern" al beneficiarului Titlul IX-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Regulide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acces in CEO, Anexa nr. 3 la caietul de sarcini; </w:t>
            </w: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</w:t>
            </w: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prevederile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convenţiilor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privind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protecţia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muncii, PSI si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protecţia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mediului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incheiate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cu Societatea Complexul Energetic Oltenia SA - Sucursala Electrocentrale Turceni, Anexa nr. 2 la caietul de sarcini.</w:t>
            </w:r>
          </w:p>
          <w:p w:rsidR="00AB269E" w:rsidRPr="002A7398" w:rsidRDefault="00AB269E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În perioada prestării serviciilor, de aplicarea normelor de securitatea si sănătatea în muncă,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protecţia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mediului, respectiv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situaţii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urgenţă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răspunde prestatorul.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</w:tbl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86D" w:rsidRPr="00EC086D" w:rsidRDefault="00EC086D" w:rsidP="00C26277">
      <w:pPr>
        <w:spacing w:after="0" w:line="240" w:lineRule="auto"/>
        <w:jc w:val="both"/>
        <w:rPr>
          <w:rStyle w:val="l5def1"/>
          <w:rFonts w:ascii="Times New Roman" w:hAnsi="Times New Roman"/>
          <w:color w:val="FF0000"/>
          <w:sz w:val="24"/>
          <w:szCs w:val="24"/>
        </w:rPr>
      </w:pP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Ofertanții vor completa coloana „</w:t>
      </w:r>
      <w:r w:rsidRPr="00EC086D">
        <w:rPr>
          <w:rStyle w:val="l5def1"/>
          <w:rFonts w:ascii="Times New Roman" w:hAnsi="Times New Roman"/>
          <w:b/>
          <w:color w:val="FF0000"/>
          <w:sz w:val="24"/>
          <w:szCs w:val="24"/>
        </w:rPr>
        <w:t>4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 xml:space="preserve">”din tabel 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  <w:lang w:val="en-GB"/>
        </w:rPr>
        <w:t>[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fără a menționa „</w:t>
      </w:r>
      <w:r w:rsidRPr="00EC086D">
        <w:rPr>
          <w:rStyle w:val="l5def1"/>
          <w:rFonts w:ascii="Times New Roman" w:hAnsi="Times New Roman"/>
          <w:iCs/>
          <w:color w:val="FF0000"/>
          <w:sz w:val="24"/>
          <w:szCs w:val="24"/>
        </w:rPr>
        <w:t>conform (sub)capitolul...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”], respectiv coloana „</w:t>
      </w:r>
      <w:r w:rsidRPr="00EC086D">
        <w:rPr>
          <w:rStyle w:val="l5def1"/>
          <w:rFonts w:ascii="Times New Roman" w:hAnsi="Times New Roman"/>
          <w:b/>
          <w:color w:val="FF0000"/>
          <w:sz w:val="24"/>
          <w:szCs w:val="24"/>
        </w:rPr>
        <w:t>5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”.</w:t>
      </w:r>
    </w:p>
    <w:p w:rsidR="00EC086D" w:rsidRPr="006D309B" w:rsidRDefault="00EC086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086D" w:rsidRPr="006D309B" w:rsidSect="009C0B5D">
      <w:pgSz w:w="16838" w:h="11906" w:orient="landscape" w:code="9"/>
      <w:pgMar w:top="1418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D1" w:rsidRDefault="00EC22D1" w:rsidP="00B05501">
      <w:pPr>
        <w:spacing w:after="0" w:line="240" w:lineRule="auto"/>
      </w:pPr>
      <w:r>
        <w:separator/>
      </w:r>
    </w:p>
  </w:endnote>
  <w:endnote w:type="continuationSeparator" w:id="0">
    <w:p w:rsidR="00EC22D1" w:rsidRDefault="00EC22D1" w:rsidP="00B0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870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501" w:rsidRDefault="00B055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9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5501" w:rsidRDefault="00B05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D1" w:rsidRDefault="00EC22D1" w:rsidP="00B05501">
      <w:pPr>
        <w:spacing w:after="0" w:line="240" w:lineRule="auto"/>
      </w:pPr>
      <w:r>
        <w:separator/>
      </w:r>
    </w:p>
  </w:footnote>
  <w:footnote w:type="continuationSeparator" w:id="0">
    <w:p w:rsidR="00EC22D1" w:rsidRDefault="00EC22D1" w:rsidP="00B05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5DC"/>
    <w:multiLevelType w:val="hybridMultilevel"/>
    <w:tmpl w:val="F93E4880"/>
    <w:lvl w:ilvl="0" w:tplc="0418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 w:val="0"/>
      </w:rPr>
    </w:lvl>
    <w:lvl w:ilvl="1" w:tplc="0418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4672F6B"/>
    <w:multiLevelType w:val="hybridMultilevel"/>
    <w:tmpl w:val="8AB0006A"/>
    <w:lvl w:ilvl="0" w:tplc="DA0C7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F270E"/>
    <w:multiLevelType w:val="hybridMultilevel"/>
    <w:tmpl w:val="F17CDE3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B016189"/>
    <w:multiLevelType w:val="hybridMultilevel"/>
    <w:tmpl w:val="0C8E21D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56"/>
    <w:rsid w:val="00122EFF"/>
    <w:rsid w:val="00130456"/>
    <w:rsid w:val="00270E8A"/>
    <w:rsid w:val="002A7398"/>
    <w:rsid w:val="002D7DF6"/>
    <w:rsid w:val="003B06C1"/>
    <w:rsid w:val="00454645"/>
    <w:rsid w:val="004F73E1"/>
    <w:rsid w:val="005B159B"/>
    <w:rsid w:val="00697960"/>
    <w:rsid w:val="006D309B"/>
    <w:rsid w:val="00723170"/>
    <w:rsid w:val="00757169"/>
    <w:rsid w:val="00764C08"/>
    <w:rsid w:val="008067D9"/>
    <w:rsid w:val="008916FB"/>
    <w:rsid w:val="00905C39"/>
    <w:rsid w:val="009545C2"/>
    <w:rsid w:val="009809D7"/>
    <w:rsid w:val="009C0B5D"/>
    <w:rsid w:val="00A86637"/>
    <w:rsid w:val="00AB269E"/>
    <w:rsid w:val="00AC2601"/>
    <w:rsid w:val="00B05501"/>
    <w:rsid w:val="00B26257"/>
    <w:rsid w:val="00C26277"/>
    <w:rsid w:val="00CE1485"/>
    <w:rsid w:val="00D2634D"/>
    <w:rsid w:val="00DB40F0"/>
    <w:rsid w:val="00E22E3C"/>
    <w:rsid w:val="00E64626"/>
    <w:rsid w:val="00EC086D"/>
    <w:rsid w:val="00E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7D8ED-3779-48B6-8C3F-EDEE7163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45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eastAsiaTheme="majorEastAsia" w:cstheme="majorBidi"/>
      <w:b/>
      <w:bCs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4heading">
    <w:name w:val="Section 4 heading"/>
    <w:basedOn w:val="Normal"/>
    <w:next w:val="Normal"/>
    <w:uiPriority w:val="99"/>
    <w:rsid w:val="00130456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Listă paragraf2,Listă paragraf1"/>
    <w:basedOn w:val="Normal"/>
    <w:link w:val="ListParagraphChar"/>
    <w:uiPriority w:val="34"/>
    <w:qFormat/>
    <w:rsid w:val="00130456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Listă paragraf2 Char,Listă paragraf1 Char"/>
    <w:link w:val="ListParagraph"/>
    <w:uiPriority w:val="34"/>
    <w:qFormat/>
    <w:locked/>
    <w:rsid w:val="001304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0456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01"/>
  </w:style>
  <w:style w:type="paragraph" w:styleId="Footer">
    <w:name w:val="footer"/>
    <w:basedOn w:val="Normal"/>
    <w:link w:val="FooterChar"/>
    <w:uiPriority w:val="99"/>
    <w:unhideWhenUsed/>
    <w:rsid w:val="00B0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01"/>
  </w:style>
  <w:style w:type="character" w:customStyle="1" w:styleId="l5def1">
    <w:name w:val="l5def1"/>
    <w:rsid w:val="009C0B5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1252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Istrate</dc:creator>
  <cp:keywords/>
  <dc:description/>
  <cp:lastModifiedBy>Dan Istrate</cp:lastModifiedBy>
  <cp:revision>21</cp:revision>
  <dcterms:created xsi:type="dcterms:W3CDTF">2022-04-15T07:41:00Z</dcterms:created>
  <dcterms:modified xsi:type="dcterms:W3CDTF">2023-08-29T06:54:00Z</dcterms:modified>
</cp:coreProperties>
</file>