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56" w:rsidRPr="006D309B" w:rsidRDefault="00130456" w:rsidP="00C26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309B">
        <w:rPr>
          <w:rFonts w:ascii="Times New Roman" w:eastAsia="Calibri" w:hAnsi="Times New Roman" w:cs="Times New Roman"/>
          <w:b/>
          <w:sz w:val="24"/>
          <w:szCs w:val="24"/>
        </w:rPr>
        <w:t>Formular-cadru Propunere Tehnică</w:t>
      </w:r>
    </w:p>
    <w:p w:rsidR="00130456" w:rsidRPr="006D309B" w:rsidRDefault="00130456" w:rsidP="00C262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09B">
        <w:rPr>
          <w:rFonts w:ascii="Times New Roman" w:eastAsia="Calibri" w:hAnsi="Times New Roman" w:cs="Times New Roman"/>
          <w:i/>
          <w:sz w:val="24"/>
          <w:szCs w:val="24"/>
        </w:rPr>
        <w:t xml:space="preserve">Numele Candidatului (operator economic individual sau asociere de operatori economici): </w:t>
      </w:r>
      <w:r w:rsidRPr="006D309B">
        <w:rPr>
          <w:rFonts w:ascii="Times New Roman" w:hAnsi="Times New Roman" w:cs="Times New Roman"/>
          <w:i/>
          <w:sz w:val="24"/>
          <w:szCs w:val="24"/>
        </w:rPr>
        <w:t>[introduceți]</w:t>
      </w:r>
    </w:p>
    <w:p w:rsidR="00130456" w:rsidRPr="006D309B" w:rsidRDefault="00130456" w:rsidP="00C262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456" w:rsidRPr="006D309B" w:rsidRDefault="00130456" w:rsidP="00C262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456" w:rsidRPr="006D309B" w:rsidRDefault="00130456" w:rsidP="00C2627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309B">
        <w:rPr>
          <w:rFonts w:ascii="Times New Roman" w:hAnsi="Times New Roman" w:cs="Times New Roman"/>
          <w:sz w:val="24"/>
          <w:szCs w:val="24"/>
        </w:rPr>
        <w:t>Data:</w:t>
      </w:r>
      <w:r w:rsidRPr="006D309B">
        <w:rPr>
          <w:rFonts w:ascii="Times New Roman" w:hAnsi="Times New Roman" w:cs="Times New Roman"/>
          <w:i/>
          <w:sz w:val="24"/>
          <w:szCs w:val="24"/>
        </w:rPr>
        <w:t xml:space="preserve"> [ZZ/LL/AAAA]</w:t>
      </w:r>
    </w:p>
    <w:p w:rsidR="00130456" w:rsidRPr="006D309B" w:rsidRDefault="00130456" w:rsidP="00C2627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309B">
        <w:rPr>
          <w:rFonts w:ascii="Times New Roman" w:hAnsi="Times New Roman" w:cs="Times New Roman"/>
          <w:i/>
          <w:sz w:val="24"/>
          <w:szCs w:val="24"/>
        </w:rPr>
        <w:t>Anunț de participare: [introduceți numărul anunțului de participare]</w:t>
      </w:r>
    </w:p>
    <w:p w:rsidR="00130456" w:rsidRPr="00D87305" w:rsidRDefault="00130456" w:rsidP="00C2627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067D9">
        <w:rPr>
          <w:rFonts w:ascii="Times New Roman" w:hAnsi="Times New Roman" w:cs="Times New Roman"/>
          <w:i/>
          <w:sz w:val="24"/>
          <w:szCs w:val="24"/>
        </w:rPr>
        <w:t xml:space="preserve">Obiectul contractului: </w:t>
      </w:r>
      <w:r w:rsidR="00D87305" w:rsidRPr="00D87305">
        <w:rPr>
          <w:rFonts w:ascii="Times New Roman" w:hAnsi="Times New Roman" w:cs="Times New Roman"/>
          <w:b/>
          <w:i/>
          <w:sz w:val="24"/>
          <w:szCs w:val="24"/>
          <w:lang w:val="fr-FR"/>
        </w:rPr>
        <w:t>,</w:t>
      </w:r>
      <w:r w:rsidR="00D87305" w:rsidRPr="00D87305">
        <w:rPr>
          <w:rFonts w:ascii="Times New Roman" w:hAnsi="Times New Roman" w:cs="Times New Roman"/>
          <w:b/>
          <w:i/>
          <w:sz w:val="24"/>
          <w:szCs w:val="24"/>
        </w:rPr>
        <w:t xml:space="preserve">,Serviciu de </w:t>
      </w:r>
      <w:proofErr w:type="spellStart"/>
      <w:r w:rsidR="00D87305" w:rsidRPr="00D87305">
        <w:rPr>
          <w:rFonts w:ascii="Times New Roman" w:hAnsi="Times New Roman" w:cs="Times New Roman"/>
          <w:b/>
          <w:i/>
          <w:sz w:val="24"/>
          <w:szCs w:val="24"/>
        </w:rPr>
        <w:t>reparatie</w:t>
      </w:r>
      <w:proofErr w:type="spellEnd"/>
      <w:r w:rsidR="00D87305" w:rsidRPr="00D87305">
        <w:rPr>
          <w:rFonts w:ascii="Times New Roman" w:hAnsi="Times New Roman" w:cs="Times New Roman"/>
          <w:b/>
          <w:i/>
          <w:sz w:val="24"/>
          <w:szCs w:val="24"/>
        </w:rPr>
        <w:t xml:space="preserve"> transformator electric 3TDE2-220/6,3/6,3 kV, </w:t>
      </w:r>
      <w:proofErr w:type="spellStart"/>
      <w:r w:rsidR="00D87305" w:rsidRPr="00D87305">
        <w:rPr>
          <w:rFonts w:ascii="Times New Roman" w:hAnsi="Times New Roman" w:cs="Times New Roman"/>
          <w:b/>
          <w:i/>
          <w:sz w:val="24"/>
          <w:szCs w:val="24"/>
        </w:rPr>
        <w:t>fabricatie</w:t>
      </w:r>
      <w:proofErr w:type="spellEnd"/>
      <w:r w:rsidR="00D87305" w:rsidRPr="00D873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87305" w:rsidRPr="00D87305">
        <w:rPr>
          <w:rFonts w:ascii="Times New Roman" w:hAnsi="Times New Roman" w:cs="Times New Roman"/>
          <w:b/>
          <w:i/>
          <w:sz w:val="24"/>
          <w:szCs w:val="24"/>
        </w:rPr>
        <w:t>Jeumont</w:t>
      </w:r>
      <w:proofErr w:type="spellEnd"/>
      <w:r w:rsidR="00D87305" w:rsidRPr="00D87305">
        <w:rPr>
          <w:rFonts w:ascii="Times New Roman" w:hAnsi="Times New Roman" w:cs="Times New Roman"/>
          <w:b/>
          <w:i/>
          <w:sz w:val="24"/>
          <w:szCs w:val="24"/>
        </w:rPr>
        <w:t xml:space="preserve"> Schneider - S.E. </w:t>
      </w:r>
      <w:proofErr w:type="spellStart"/>
      <w:r w:rsidR="00D87305" w:rsidRPr="00D87305">
        <w:rPr>
          <w:rFonts w:ascii="Times New Roman" w:hAnsi="Times New Roman" w:cs="Times New Roman"/>
          <w:b/>
          <w:i/>
          <w:sz w:val="24"/>
          <w:szCs w:val="24"/>
        </w:rPr>
        <w:t>Isalnita</w:t>
      </w:r>
      <w:proofErr w:type="spellEnd"/>
      <w:r w:rsidR="00D87305" w:rsidRPr="00D87305">
        <w:rPr>
          <w:rFonts w:ascii="Times New Roman" w:hAnsi="Times New Roman" w:cs="Times New Roman"/>
          <w:b/>
          <w:i/>
          <w:sz w:val="24"/>
          <w:szCs w:val="24"/>
        </w:rPr>
        <w:t>’’</w:t>
      </w:r>
    </w:p>
    <w:p w:rsidR="00130456" w:rsidRPr="00D87305" w:rsidRDefault="00130456" w:rsidP="00C262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30456" w:rsidRPr="006D309B" w:rsidRDefault="00130456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456" w:rsidRPr="00697960" w:rsidRDefault="00130456" w:rsidP="00C2627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7960">
        <w:rPr>
          <w:rFonts w:ascii="Times New Roman" w:hAnsi="Times New Roman" w:cs="Times New Roman"/>
          <w:i/>
          <w:sz w:val="16"/>
          <w:szCs w:val="16"/>
        </w:rPr>
        <w:t>[Informațiile prezentate de către Ofertanți în acest formular reprezintă fundament pentru:</w:t>
      </w:r>
    </w:p>
    <w:p w:rsidR="00130456" w:rsidRPr="00697960" w:rsidRDefault="00130456" w:rsidP="00C26277">
      <w:pPr>
        <w:pStyle w:val="ListParagraph"/>
        <w:numPr>
          <w:ilvl w:val="0"/>
          <w:numId w:val="1"/>
        </w:numPr>
        <w:ind w:left="360"/>
        <w:jc w:val="both"/>
        <w:rPr>
          <w:i/>
          <w:sz w:val="16"/>
          <w:szCs w:val="16"/>
          <w:lang w:val="ro-RO"/>
        </w:rPr>
      </w:pPr>
      <w:r w:rsidRPr="00697960">
        <w:rPr>
          <w:i/>
          <w:sz w:val="16"/>
          <w:szCs w:val="16"/>
          <w:lang w:val="ro-RO"/>
        </w:rPr>
        <w:t>evaluarea Propunerii Tehnice conform metodologiei stabilite prin Documentația de Atribuire</w:t>
      </w:r>
      <w:r w:rsidRPr="00697960">
        <w:rPr>
          <w:sz w:val="16"/>
          <w:szCs w:val="16"/>
          <w:lang w:val="ro-RO"/>
        </w:rPr>
        <w:t xml:space="preserve"> </w:t>
      </w:r>
      <w:r w:rsidRPr="00697960">
        <w:rPr>
          <w:i/>
          <w:sz w:val="16"/>
          <w:szCs w:val="16"/>
          <w:lang w:val="ro-RO"/>
        </w:rPr>
        <w:t xml:space="preserve">în corelație cu cerințele minime din </w:t>
      </w:r>
      <w:proofErr w:type="spellStart"/>
      <w:r w:rsidR="004F73E1" w:rsidRPr="00697960">
        <w:rPr>
          <w:i/>
          <w:sz w:val="16"/>
          <w:szCs w:val="16"/>
          <w:lang w:val="ro-RO"/>
        </w:rPr>
        <w:t>Documentatia</w:t>
      </w:r>
      <w:proofErr w:type="spellEnd"/>
      <w:r w:rsidR="004F73E1" w:rsidRPr="00697960">
        <w:rPr>
          <w:i/>
          <w:sz w:val="16"/>
          <w:szCs w:val="16"/>
          <w:lang w:val="ro-RO"/>
        </w:rPr>
        <w:t xml:space="preserve"> de Atribuire</w:t>
      </w:r>
      <w:r w:rsidRPr="00697960">
        <w:rPr>
          <w:i/>
          <w:sz w:val="16"/>
          <w:szCs w:val="16"/>
          <w:lang w:val="ro-RO"/>
        </w:rPr>
        <w:t>,</w:t>
      </w:r>
    </w:p>
    <w:p w:rsidR="00130456" w:rsidRPr="00697960" w:rsidRDefault="00130456" w:rsidP="00C26277">
      <w:pPr>
        <w:pStyle w:val="ListParagraph"/>
        <w:numPr>
          <w:ilvl w:val="0"/>
          <w:numId w:val="1"/>
        </w:numPr>
        <w:ind w:left="360"/>
        <w:jc w:val="both"/>
        <w:rPr>
          <w:i/>
          <w:sz w:val="16"/>
          <w:szCs w:val="16"/>
          <w:lang w:val="ro-RO"/>
        </w:rPr>
      </w:pPr>
      <w:r w:rsidRPr="00697960">
        <w:rPr>
          <w:i/>
          <w:sz w:val="16"/>
          <w:szCs w:val="16"/>
          <w:lang w:val="ro-RO"/>
        </w:rPr>
        <w:t>aplicarea criteriului de atribuire conform metodologiei stabilite prin Documentația de Atribuire.]</w:t>
      </w:r>
    </w:p>
    <w:p w:rsidR="00130456" w:rsidRPr="00697960" w:rsidRDefault="00130456" w:rsidP="00C2627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30456" w:rsidRPr="00697960" w:rsidRDefault="00130456" w:rsidP="00C2627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7960">
        <w:rPr>
          <w:rFonts w:ascii="Times New Roman" w:hAnsi="Times New Roman" w:cs="Times New Roman"/>
          <w:i/>
          <w:sz w:val="16"/>
          <w:szCs w:val="16"/>
        </w:rPr>
        <w:t>[Toate informațiile solicitate în cele ce urmează reprezintă elemente cheie obligatorii ale Propunerii Tehnice.]</w:t>
      </w:r>
    </w:p>
    <w:p w:rsidR="00130456" w:rsidRPr="00697960" w:rsidRDefault="00130456" w:rsidP="00C2627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7960">
        <w:rPr>
          <w:rFonts w:ascii="Times New Roman" w:hAnsi="Times New Roman" w:cs="Times New Roman"/>
          <w:i/>
          <w:sz w:val="16"/>
          <w:szCs w:val="16"/>
        </w:rPr>
        <w:t>Ofertanții trebuie să prezinte Propunerea Tehnică ca parte a Ofertei, orice alte anexe considerate relevante de către acesta pentru:</w:t>
      </w:r>
    </w:p>
    <w:p w:rsidR="00130456" w:rsidRPr="00697960" w:rsidRDefault="00130456" w:rsidP="00C26277">
      <w:pPr>
        <w:pStyle w:val="ListParagraph"/>
        <w:numPr>
          <w:ilvl w:val="0"/>
          <w:numId w:val="2"/>
        </w:numPr>
        <w:ind w:left="360"/>
        <w:jc w:val="both"/>
        <w:rPr>
          <w:i/>
          <w:sz w:val="16"/>
          <w:szCs w:val="16"/>
          <w:lang w:val="ro-RO"/>
        </w:rPr>
      </w:pPr>
      <w:r w:rsidRPr="00697960">
        <w:rPr>
          <w:i/>
          <w:sz w:val="16"/>
          <w:szCs w:val="16"/>
          <w:lang w:val="ro-RO"/>
        </w:rPr>
        <w:t>demonstrarea îndeplinirii cerințelor minime</w:t>
      </w:r>
    </w:p>
    <w:p w:rsidR="00130456" w:rsidRPr="00697960" w:rsidRDefault="00130456" w:rsidP="00C26277">
      <w:pPr>
        <w:pStyle w:val="ListParagraph"/>
        <w:numPr>
          <w:ilvl w:val="0"/>
          <w:numId w:val="2"/>
        </w:numPr>
        <w:ind w:left="360"/>
        <w:jc w:val="both"/>
        <w:rPr>
          <w:i/>
          <w:sz w:val="16"/>
          <w:szCs w:val="16"/>
          <w:lang w:val="ro-RO"/>
        </w:rPr>
      </w:pPr>
      <w:r w:rsidRPr="00697960">
        <w:rPr>
          <w:i/>
          <w:sz w:val="16"/>
          <w:szCs w:val="16"/>
          <w:lang w:val="ro-RO"/>
        </w:rPr>
        <w:t>obținerea unui punctaj ca urmare a aplicării criteriului de atribuire</w:t>
      </w:r>
    </w:p>
    <w:p w:rsidR="00130456" w:rsidRPr="00697960" w:rsidRDefault="00130456" w:rsidP="00C26277">
      <w:pPr>
        <w:pStyle w:val="ListParagraph"/>
        <w:numPr>
          <w:ilvl w:val="0"/>
          <w:numId w:val="2"/>
        </w:numPr>
        <w:ind w:left="360"/>
        <w:jc w:val="both"/>
        <w:rPr>
          <w:i/>
          <w:sz w:val="16"/>
          <w:szCs w:val="16"/>
          <w:lang w:val="ro-RO"/>
        </w:rPr>
      </w:pPr>
      <w:r w:rsidRPr="00697960">
        <w:rPr>
          <w:i/>
          <w:sz w:val="16"/>
          <w:szCs w:val="16"/>
          <w:lang w:val="ro-RO"/>
        </w:rPr>
        <w:t>evidențierea beneficiilor pe care le oferă Autorității Contractante].</w:t>
      </w:r>
    </w:p>
    <w:p w:rsidR="00130456" w:rsidRPr="00697960" w:rsidRDefault="00130456" w:rsidP="00C2627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30456" w:rsidRPr="00697960" w:rsidRDefault="00130456" w:rsidP="00C2627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7960">
        <w:rPr>
          <w:rFonts w:ascii="Times New Roman" w:hAnsi="Times New Roman" w:cs="Times New Roman"/>
          <w:i/>
          <w:sz w:val="16"/>
          <w:szCs w:val="16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:rsidR="00130456" w:rsidRPr="00697960" w:rsidRDefault="00130456" w:rsidP="00C2627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7960">
        <w:rPr>
          <w:rFonts w:ascii="Times New Roman" w:hAnsi="Times New Roman" w:cs="Times New Roman"/>
          <w:i/>
          <w:sz w:val="16"/>
          <w:szCs w:val="16"/>
        </w:rPr>
        <w:t>Prezentarea unei Propuneri Tehnice care nu include informațiile solicitate de Autoritatea Contractantă ca răspuns la cerințele minime stabilite poate atrage neconformitatea Ofertei. Simpla copiere a cerințelor din Caietul de Sarcini nu este considerată drept răspuns la cerințele Autorității Contractante.</w:t>
      </w:r>
    </w:p>
    <w:p w:rsidR="00130456" w:rsidRPr="006D309B" w:rsidRDefault="00130456" w:rsidP="00C26277">
      <w:pPr>
        <w:pStyle w:val="Heading1"/>
        <w:spacing w:before="0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</w:p>
    <w:p w:rsidR="00130456" w:rsidRPr="006D309B" w:rsidRDefault="00130456" w:rsidP="00C262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309B">
        <w:rPr>
          <w:rFonts w:ascii="Times New Roman" w:eastAsia="Calibri" w:hAnsi="Times New Roman" w:cs="Times New Roman"/>
          <w:i/>
          <w:sz w:val="24"/>
          <w:szCs w:val="24"/>
        </w:rPr>
        <w:t xml:space="preserve">Se recomandă ca Propunerea Tehnică să </w:t>
      </w:r>
      <w:r w:rsidR="00454645">
        <w:rPr>
          <w:rFonts w:ascii="Times New Roman" w:eastAsia="Calibri" w:hAnsi="Times New Roman" w:cs="Times New Roman"/>
          <w:i/>
          <w:sz w:val="24"/>
          <w:szCs w:val="24"/>
        </w:rPr>
        <w:t xml:space="preserve">fie </w:t>
      </w:r>
      <w:proofErr w:type="spellStart"/>
      <w:r w:rsidR="00454645">
        <w:rPr>
          <w:rFonts w:ascii="Times New Roman" w:eastAsia="Calibri" w:hAnsi="Times New Roman" w:cs="Times New Roman"/>
          <w:i/>
          <w:sz w:val="24"/>
          <w:szCs w:val="24"/>
        </w:rPr>
        <w:t>intocmit</w:t>
      </w:r>
      <w:r w:rsidRPr="006D309B">
        <w:rPr>
          <w:rFonts w:ascii="Times New Roman" w:eastAsia="Calibri" w:hAnsi="Times New Roman" w:cs="Times New Roman"/>
          <w:i/>
          <w:sz w:val="24"/>
          <w:szCs w:val="24"/>
        </w:rPr>
        <w:t>ă</w:t>
      </w:r>
      <w:proofErr w:type="spellEnd"/>
      <w:r w:rsidRPr="006D309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54645">
        <w:rPr>
          <w:rFonts w:ascii="Times New Roman" w:eastAsia="Calibri" w:hAnsi="Times New Roman" w:cs="Times New Roman"/>
          <w:i/>
          <w:sz w:val="24"/>
          <w:szCs w:val="24"/>
        </w:rPr>
        <w:t>conform tabelului de mai jos</w:t>
      </w:r>
      <w:r w:rsidRPr="006D309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130456" w:rsidRDefault="00130456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645" w:rsidRDefault="00454645" w:rsidP="00C26277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nr. 1</w:t>
      </w:r>
    </w:p>
    <w:p w:rsidR="00454645" w:rsidRPr="006D309B" w:rsidRDefault="00454645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4120"/>
        <w:gridCol w:w="5940"/>
      </w:tblGrid>
      <w:tr w:rsidR="00130456" w:rsidRPr="006D309B" w:rsidTr="00B26257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456" w:rsidRPr="006D309B" w:rsidRDefault="00130456" w:rsidP="00C26277">
            <w:pPr>
              <w:pStyle w:val="Section4heading"/>
              <w:widowControl/>
              <w:spacing w:after="0"/>
              <w:jc w:val="left"/>
              <w:rPr>
                <w:rFonts w:eastAsia="Calibri"/>
                <w:sz w:val="24"/>
                <w:lang w:val="ro-RO"/>
              </w:rPr>
            </w:pPr>
            <w:r w:rsidRPr="006D309B">
              <w:rPr>
                <w:rFonts w:eastAsia="Calibri"/>
                <w:sz w:val="24"/>
                <w:lang w:val="ro-RO"/>
              </w:rPr>
              <w:t>Cerința minimă din Caietul de Sarcini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456" w:rsidRPr="006D309B" w:rsidRDefault="00130456" w:rsidP="00C26277">
            <w:pPr>
              <w:pStyle w:val="Section4heading"/>
              <w:widowControl/>
              <w:spacing w:after="0"/>
              <w:jc w:val="left"/>
              <w:rPr>
                <w:rFonts w:eastAsia="Calibri"/>
                <w:i/>
                <w:sz w:val="24"/>
                <w:shd w:val="clear" w:color="auto" w:fill="C0C0C0"/>
                <w:lang w:val="ro-RO"/>
              </w:rPr>
            </w:pPr>
            <w:r w:rsidRPr="006D309B">
              <w:rPr>
                <w:sz w:val="24"/>
                <w:lang w:val="ro-RO"/>
              </w:rPr>
              <w:t xml:space="preserve">Modalitatea de îndeplinire a cerinței </w:t>
            </w:r>
          </w:p>
        </w:tc>
      </w:tr>
      <w:tr w:rsidR="00130456" w:rsidRPr="006D309B" w:rsidTr="00B26257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30456" w:rsidRPr="006D309B" w:rsidRDefault="00130456" w:rsidP="00C26277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</w:pPr>
            <w:r w:rsidRPr="006D309B">
              <w:rPr>
                <w:rFonts w:eastAsia="Calibri"/>
                <w:b w:val="0"/>
                <w:i/>
                <w:sz w:val="24"/>
                <w:shd w:val="clear" w:color="auto" w:fill="FFFFFF" w:themeFill="background1"/>
                <w:lang w:val="ro-RO"/>
              </w:rPr>
              <w:t>[Introduceți cerințele minime din Caietul de</w:t>
            </w:r>
            <w:r w:rsidRPr="006D309B"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  <w:t xml:space="preserve"> </w:t>
            </w:r>
            <w:r w:rsidRPr="006D309B">
              <w:rPr>
                <w:rFonts w:eastAsia="Calibri"/>
                <w:b w:val="0"/>
                <w:i/>
                <w:sz w:val="24"/>
                <w:shd w:val="clear" w:color="auto" w:fill="FFFFFF" w:themeFill="background1"/>
                <w:lang w:val="ro-RO"/>
              </w:rPr>
              <w:t>Sarcini referitoare la rezultat/document ce rezultă la finalul unei activități]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30456" w:rsidRPr="006D309B" w:rsidRDefault="00130456" w:rsidP="00C26277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</w:pPr>
            <w:r w:rsidRPr="006D309B">
              <w:rPr>
                <w:rFonts w:eastAsia="Calibri"/>
                <w:b w:val="0"/>
                <w:i/>
                <w:sz w:val="24"/>
                <w:shd w:val="clear" w:color="auto" w:fill="FFFFFF" w:themeFill="background1"/>
                <w:lang w:val="ro-RO"/>
              </w:rPr>
              <w:t>[Prezentați modalitatea efectivă de îndeplinire a cerinței</w:t>
            </w:r>
            <w:r w:rsidRPr="006D309B"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  <w:t xml:space="preserve"> </w:t>
            </w:r>
            <w:r w:rsidRPr="006D309B">
              <w:rPr>
                <w:rFonts w:eastAsia="Calibri"/>
                <w:b w:val="0"/>
                <w:i/>
                <w:sz w:val="24"/>
                <w:shd w:val="clear" w:color="auto" w:fill="FFFFFF" w:themeFill="background1"/>
                <w:lang w:val="ro-RO"/>
              </w:rPr>
              <w:t>minime]</w:t>
            </w:r>
          </w:p>
        </w:tc>
      </w:tr>
      <w:tr w:rsidR="00130456" w:rsidRPr="006D309B" w:rsidTr="00B26257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56" w:rsidRPr="006D309B" w:rsidRDefault="00130456" w:rsidP="00C26277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4"/>
                <w:shd w:val="clear" w:color="auto" w:fill="C0C0C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0456" w:rsidRPr="006D309B" w:rsidRDefault="00130456" w:rsidP="00C26277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</w:pPr>
          </w:p>
        </w:tc>
      </w:tr>
    </w:tbl>
    <w:p w:rsidR="00130456" w:rsidRDefault="00130456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637" w:rsidRDefault="00A86637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637" w:rsidRDefault="00A86637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Ofertant,</w:t>
      </w:r>
    </w:p>
    <w:p w:rsidR="00A86637" w:rsidRDefault="00A86637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</w:t>
      </w: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C0B5D" w:rsidSect="00B05501">
          <w:footerReference w:type="default" r:id="rId7"/>
          <w:pgSz w:w="11906" w:h="16838" w:code="9"/>
          <w:pgMar w:top="567" w:right="567" w:bottom="567" w:left="1418" w:header="284" w:footer="284" w:gutter="0"/>
          <w:cols w:space="708"/>
          <w:docGrid w:linePitch="360"/>
        </w:sectPr>
      </w:pPr>
    </w:p>
    <w:p w:rsidR="009C0B5D" w:rsidRPr="006D309B" w:rsidRDefault="009C0B5D" w:rsidP="00C26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Anexa nr. 1 la </w:t>
      </w:r>
      <w:r w:rsidRPr="006D309B">
        <w:rPr>
          <w:rFonts w:ascii="Times New Roman" w:eastAsia="Calibri" w:hAnsi="Times New Roman" w:cs="Times New Roman"/>
          <w:b/>
          <w:sz w:val="24"/>
          <w:szCs w:val="24"/>
        </w:rPr>
        <w:t>Formular-cadru Propunere Tehnică</w:t>
      </w:r>
    </w:p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620"/>
        <w:gridCol w:w="8264"/>
        <w:gridCol w:w="1080"/>
        <w:gridCol w:w="2680"/>
      </w:tblGrid>
      <w:tr w:rsidR="002A7398" w:rsidRPr="002A7398" w:rsidTr="00C26277">
        <w:trPr>
          <w:trHeight w:val="315"/>
        </w:trPr>
        <w:tc>
          <w:tcPr>
            <w:tcW w:w="1080" w:type="dxa"/>
            <w:vMerge w:val="restart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Nr. crt.</w:t>
            </w:r>
          </w:p>
        </w:tc>
        <w:tc>
          <w:tcPr>
            <w:tcW w:w="1080" w:type="dxa"/>
            <w:vMerge w:val="restart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Nr. cap.</w:t>
            </w:r>
          </w:p>
        </w:tc>
        <w:tc>
          <w:tcPr>
            <w:tcW w:w="1620" w:type="dxa"/>
            <w:vMerge w:val="restart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Specificaţii</w:t>
            </w:r>
            <w:proofErr w:type="spellEnd"/>
          </w:p>
        </w:tc>
        <w:tc>
          <w:tcPr>
            <w:tcW w:w="12024" w:type="dxa"/>
            <w:gridSpan w:val="3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500" w:firstLine="28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Cerinţă</w:t>
            </w:r>
            <w:proofErr w:type="spellEnd"/>
          </w:p>
        </w:tc>
      </w:tr>
      <w:tr w:rsidR="002A7398" w:rsidRPr="002A7398" w:rsidTr="00C26277">
        <w:trPr>
          <w:trHeight w:val="765"/>
        </w:trPr>
        <w:tc>
          <w:tcPr>
            <w:tcW w:w="1080" w:type="dxa"/>
            <w:vMerge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solicitată prin caietul de sarcini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ofertată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poziţia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 xml:space="preserve">/locul unde se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regăseşte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 xml:space="preserve"> în ofertă (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fişe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/cataloage/ desene etc.)</w:t>
            </w:r>
          </w:p>
        </w:tc>
      </w:tr>
      <w:tr w:rsidR="002A7398" w:rsidRPr="002A7398" w:rsidTr="00C26277">
        <w:trPr>
          <w:trHeight w:hRule="exact" w:val="315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2</w:t>
            </w: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4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o-RO"/>
              </w:rPr>
              <w:t>5</w:t>
            </w:r>
          </w:p>
        </w:tc>
      </w:tr>
      <w:tr w:rsidR="002A7398" w:rsidRPr="002A7398" w:rsidTr="0073206E">
        <w:trPr>
          <w:trHeight w:hRule="exact" w:val="762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II.l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Denumire servicii</w:t>
            </w: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2A7398" w:rsidRPr="002A7398" w:rsidRDefault="00DC5A79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Serviciu de </w:t>
            </w:r>
            <w:proofErr w:type="spellStart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reparaţie</w:t>
            </w:r>
            <w:proofErr w:type="spellEnd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transformator electric 3TDE-2220/6,3/6,3kV, </w:t>
            </w:r>
            <w:proofErr w:type="spellStart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fabricaţie</w:t>
            </w:r>
            <w:proofErr w:type="spellEnd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Jeumont</w:t>
            </w:r>
            <w:proofErr w:type="spellEnd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-Schneider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2A7398" w:rsidRPr="002A7398" w:rsidTr="00C26277">
        <w:trPr>
          <w:trHeight w:hRule="exact" w:val="315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11.2.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Cantitate</w:t>
            </w: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2A7398" w:rsidRDefault="00DC5A79" w:rsidP="00A3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 (unu) serviciu, conform anexei nr. 1 la caietul de sarcini</w:t>
            </w:r>
          </w:p>
          <w:p w:rsidR="00DC5A79" w:rsidRPr="002A7398" w:rsidRDefault="00DC5A79" w:rsidP="00C2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122EFF" w:rsidRPr="002A7398" w:rsidTr="00C26277">
        <w:trPr>
          <w:trHeight w:val="3517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1II.1.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Specificaţii</w:t>
            </w:r>
            <w:proofErr w:type="spellEnd"/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tehnice minimale</w:t>
            </w:r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122EFF" w:rsidRDefault="00DC5A79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În prezent, transformatorul electric 3TDE2 220/6,3/6,3kV de </w:t>
            </w:r>
            <w:proofErr w:type="spellStart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fabricaţie</w:t>
            </w:r>
            <w:proofErr w:type="spellEnd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Jeumont</w:t>
            </w:r>
            <w:proofErr w:type="spellEnd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-Schneider este defect electric, fiind afectat fizic de explozia bornei de înaltă tensiune pe faza T </w:t>
            </w:r>
            <w:proofErr w:type="spellStart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deteriorări ale izolatorilor de pe celelalte faze, ce au produs indisponibilizarea acestuia. Repunerea în </w:t>
            </w:r>
            <w:proofErr w:type="spellStart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funcţiune</w:t>
            </w:r>
            <w:proofErr w:type="spellEnd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exploatare, se poate realiza numai prin eliminarea acestor </w:t>
            </w:r>
            <w:proofErr w:type="spellStart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defecţiuni</w:t>
            </w:r>
            <w:proofErr w:type="spellEnd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având ca </w:t>
            </w:r>
            <w:proofErr w:type="spellStart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operaţii</w:t>
            </w:r>
            <w:proofErr w:type="spellEnd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astfel: înlocuirea bornelor de înaltă tensiune cu refacerea sistemului de montaj pe cuvă </w:t>
            </w:r>
            <w:proofErr w:type="spellStart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tratarea uleiului electroizolant. S.E. </w:t>
            </w:r>
            <w:proofErr w:type="spellStart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Işalnifa</w:t>
            </w:r>
            <w:proofErr w:type="spellEnd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va pune la </w:t>
            </w:r>
            <w:proofErr w:type="spellStart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dispoziţie</w:t>
            </w:r>
            <w:proofErr w:type="spellEnd"/>
            <w:r w:rsidRPr="00DC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bornele de înaltă tensiune care se vor monta pe 3TDE2, după ce în prealabil ofertantul le va demonta de pe transformatorul 2TPR.</w:t>
            </w:r>
          </w:p>
          <w:p w:rsidR="00FA59A4" w:rsidRPr="00FA59A4" w:rsidRDefault="00FA59A4" w:rsidP="00FA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Cele defecte, ce echipează transformatorul 3TDE2 se vor demonta de către ofertant împreună cu oalele suport. Ca urmare a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diferenţei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constructive dintre cele două tipuri de borne se impune ca oalele suport să se prelucreze dimensional de către ofertant, în sensul reducerii lungimii cu maximum 3l0</w:t>
            </w:r>
            <w:r w:rsidR="0055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mm, după care se vor monta pe cuva transformatorului electric.</w:t>
            </w:r>
          </w:p>
          <w:p w:rsidR="00FA59A4" w:rsidRPr="00FA59A4" w:rsidRDefault="00FA59A4" w:rsidP="00FA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Ulterior se vor monta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bornele de înaltă tensiune după verificarea/refacerea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izolaţiei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conexiunii flexibile de racord. Ofertantul va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confecţiona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înlocui funiile de legătură, care realizează conexiunea transformatorului pe fiecare fază la linia de sosire din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sta</w:t>
            </w:r>
            <w:r w:rsidR="0055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</w:t>
            </w:r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ia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220</w:t>
            </w:r>
            <w:r w:rsidR="0055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kV.</w:t>
            </w:r>
          </w:p>
          <w:p w:rsidR="00FA59A4" w:rsidRPr="00FA59A4" w:rsidRDefault="00FA59A4" w:rsidP="00FA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Tratarea uleiului se va realiza de către ofertant cu echipamente proprietatea sa, acesta realizând toate verificările profilactice electrice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ale uleiului electroizolant, cu emitere de buletine în conformitate cu PE 116/1994 - Normativ de încercări si măsurători la echipamente si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instalaţii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electrice.</w:t>
            </w:r>
          </w:p>
          <w:p w:rsidR="00FA59A4" w:rsidRPr="00FA59A4" w:rsidRDefault="00FA59A4" w:rsidP="00FA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 xml:space="preserve">Toate materialele, echipamentele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manopera necesară pentru prestarea serviciului vor</w:t>
            </w:r>
            <w:r w:rsidR="00015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fi asigurate de către ofertant. S.E.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Işalniţa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va pune la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dispoziţia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ofertantului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documentaţia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tehnică a transformatorului electric vizat de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reparaţie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energia necesară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funcţionării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echipamentelor de filtrare a uleiului, costul energiei electrice folosită de prestator va fi suportată de acesta.</w:t>
            </w:r>
          </w:p>
          <w:p w:rsidR="00FA59A4" w:rsidRPr="00FA59A4" w:rsidRDefault="00FA59A4" w:rsidP="00FA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S.E.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Işalniţa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va pune ta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dispoziţie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utilajul de ridicat necesar manipulării bornelor electrice. Ofertantul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îşi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asumă întreaga responsabilitate, atât pentru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siguranţa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tuturor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operaţiunilor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procedeelor tehnologice utilizate, cât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calificarea personalului folosit.</w:t>
            </w:r>
          </w:p>
          <w:p w:rsidR="00FA59A4" w:rsidRPr="00FA59A4" w:rsidRDefault="00FA59A4" w:rsidP="00FA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Ofertantul serviciului va răspunde de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operaţiunile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neautorizate sau eventuale accidente survenite pe toată perioada prestării serviciului.</w:t>
            </w:r>
          </w:p>
          <w:p w:rsidR="00FA59A4" w:rsidRPr="002A7398" w:rsidRDefault="00FA59A4" w:rsidP="00FA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Specificaţiile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tehnice care indică o anumită origine, sursă,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producţie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un procedeu special, o marcă de fabrică sau de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comerţ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un brevet de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invenţie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o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licenţă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fabricaţie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sunt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menţionate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doar pentru identificarea cu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uşurinţă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tipului de serviciu/lucrare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NU au ca efect favorizarea sau defavorizarea anumitor operatori economici sau a anumitor servicii/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Iucrări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. Aceste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specificaţii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vor fi considerate ca având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menţiunea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«sau echivalent», iar ofertantul are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obligaţia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a demonstra </w:t>
            </w:r>
            <w:proofErr w:type="spellStart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echivalenţa</w:t>
            </w:r>
            <w:proofErr w:type="spellEnd"/>
            <w:r w:rsidRPr="00FA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serviciilor/lucrărilor ofertate cu cele solicitate.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lastRenderedPageBreak/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122EFF" w:rsidRPr="002A7398" w:rsidRDefault="00122EFF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2A7398" w:rsidRPr="002A7398" w:rsidTr="00564DB1">
        <w:trPr>
          <w:trHeight w:hRule="exact" w:val="1982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564DB1" w:rsidP="00564DB1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4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III.4.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5349A4" w:rsidP="005349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Cerinţe</w:t>
            </w:r>
            <w:proofErr w:type="spellEnd"/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privind calitatea</w:t>
            </w:r>
          </w:p>
        </w:tc>
        <w:tc>
          <w:tcPr>
            <w:tcW w:w="8264" w:type="dxa"/>
            <w:shd w:val="clear" w:color="000000" w:fill="FFFFFF"/>
            <w:vAlign w:val="center"/>
          </w:tcPr>
          <w:p w:rsidR="005349A4" w:rsidRPr="005349A4" w:rsidRDefault="005349A4" w:rsidP="00534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Calitatea prestării serviciului este atestată prin </w:t>
            </w:r>
            <w:proofErr w:type="spellStart"/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declaraţiile</w:t>
            </w:r>
            <w:proofErr w:type="spellEnd"/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conformitate (întocmite în conformitate cu SR</w:t>
            </w:r>
            <w:r w:rsidR="00015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EN</w:t>
            </w:r>
            <w:r w:rsidR="00015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I</w:t>
            </w:r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SO/CEI</w:t>
            </w:r>
            <w:r w:rsidR="00015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17050-1:2010-Evaluarea </w:t>
            </w:r>
            <w:proofErr w:type="spellStart"/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conformităţii</w:t>
            </w:r>
            <w:proofErr w:type="spellEnd"/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. </w:t>
            </w:r>
            <w:proofErr w:type="spellStart"/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Declaraţia</w:t>
            </w:r>
            <w:proofErr w:type="spellEnd"/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conformitate dată de furnizor. Partea 1: </w:t>
            </w:r>
            <w:proofErr w:type="spellStart"/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Cerinţe</w:t>
            </w:r>
            <w:proofErr w:type="spellEnd"/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generale, sau echivalent), certificat de conformitate </w:t>
            </w:r>
            <w:proofErr w:type="spellStart"/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certificat de </w:t>
            </w:r>
            <w:proofErr w:type="spellStart"/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garanţie</w:t>
            </w:r>
            <w:proofErr w:type="spellEnd"/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</w:p>
          <w:p w:rsidR="002A7398" w:rsidRPr="002A7398" w:rsidRDefault="0001594C" w:rsidP="00534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</w:t>
            </w:r>
            <w:r w:rsidR="005349A4"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n cazul în care pe parcursul derulării </w:t>
            </w:r>
            <w:proofErr w:type="spellStart"/>
            <w:r w:rsidR="005349A4"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achiziţiei</w:t>
            </w:r>
            <w:proofErr w:type="spellEnd"/>
            <w:r w:rsidR="005349A4"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se modifică </w:t>
            </w:r>
            <w:proofErr w:type="spellStart"/>
            <w:r w:rsidR="005349A4"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legislaţia</w:t>
            </w:r>
            <w:proofErr w:type="spellEnd"/>
            <w:r w:rsidR="005349A4"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ofertantul se obligă să se alinieze noii </w:t>
            </w:r>
            <w:proofErr w:type="spellStart"/>
            <w:r w:rsidR="005349A4"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legislaţii</w:t>
            </w:r>
            <w:proofErr w:type="spellEnd"/>
            <w:r w:rsidR="005349A4" w:rsidRPr="00534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2A7398" w:rsidRPr="002A7398" w:rsidTr="00DC5A79">
        <w:trPr>
          <w:trHeight w:hRule="exact" w:val="945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564DB1" w:rsidP="00564DB1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IV.l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Loc de prestare</w:t>
            </w:r>
          </w:p>
        </w:tc>
        <w:tc>
          <w:tcPr>
            <w:tcW w:w="8264" w:type="dxa"/>
            <w:shd w:val="clear" w:color="000000" w:fill="FFFFFF"/>
            <w:vAlign w:val="center"/>
          </w:tcPr>
          <w:p w:rsidR="002A7398" w:rsidRPr="002A7398" w:rsidRDefault="004A4BB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A4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Serviciul solicitat se prestează la sediul Sucursalei Electrocentrale </w:t>
            </w:r>
            <w:proofErr w:type="spellStart"/>
            <w:r w:rsidRPr="004A4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Işalniţa</w:t>
            </w:r>
            <w:proofErr w:type="spellEnd"/>
            <w:r w:rsidRPr="004A4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cu sediul în str. Mihai Viteazu, nr. 101, comuna </w:t>
            </w:r>
            <w:proofErr w:type="spellStart"/>
            <w:r w:rsidRPr="004A4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Işalniţa</w:t>
            </w:r>
            <w:proofErr w:type="spellEnd"/>
            <w:r w:rsidRPr="004A4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4A4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judeţul</w:t>
            </w:r>
            <w:proofErr w:type="spellEnd"/>
            <w:r w:rsidRPr="004A4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Dolj.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2A7398" w:rsidRPr="002A7398" w:rsidTr="00564DB1">
        <w:trPr>
          <w:trHeight w:hRule="exact" w:val="713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564DB1" w:rsidP="00C26277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IV.3.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Termen de prestare</w:t>
            </w:r>
          </w:p>
        </w:tc>
        <w:tc>
          <w:tcPr>
            <w:tcW w:w="8264" w:type="dxa"/>
            <w:shd w:val="clear" w:color="000000" w:fill="FFFFFF"/>
            <w:vAlign w:val="center"/>
          </w:tcPr>
          <w:p w:rsidR="002A7398" w:rsidRDefault="00E77C92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77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Prestarea serviciului se va efectua la sediul beneficiarului, în termen de maxim 20 (douăzeci) zile calendaristice de Ia data înregistrării contractului.</w:t>
            </w:r>
          </w:p>
          <w:p w:rsidR="00564DB1" w:rsidRPr="002A7398" w:rsidRDefault="00564DB1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417D8E" w:rsidRPr="002A7398" w:rsidTr="00417D8E">
        <w:trPr>
          <w:trHeight w:hRule="exact" w:val="6383"/>
        </w:trPr>
        <w:tc>
          <w:tcPr>
            <w:tcW w:w="1080" w:type="dxa"/>
            <w:shd w:val="clear" w:color="000000" w:fill="FFFFFF"/>
            <w:vAlign w:val="center"/>
          </w:tcPr>
          <w:p w:rsidR="00417D8E" w:rsidRPr="002A7398" w:rsidRDefault="004915DF" w:rsidP="00C26277">
            <w:pPr>
              <w:spacing w:after="0" w:line="240" w:lineRule="auto"/>
              <w:ind w:firstLineChars="100" w:firstLine="190"/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lastRenderedPageBreak/>
              <w:t>7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417D8E" w:rsidRPr="002A7398" w:rsidRDefault="00417D8E" w:rsidP="00C26277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:rsidR="00417D8E" w:rsidRPr="002A7398" w:rsidRDefault="00417D8E" w:rsidP="00C26277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Garantii</w:t>
            </w:r>
            <w:proofErr w:type="spellEnd"/>
          </w:p>
        </w:tc>
        <w:tc>
          <w:tcPr>
            <w:tcW w:w="8264" w:type="dxa"/>
            <w:shd w:val="clear" w:color="000000" w:fill="FFFFFF"/>
            <w:vAlign w:val="center"/>
          </w:tcPr>
          <w:p w:rsidR="00417D8E" w:rsidRDefault="00417D8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Termenul de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garanţie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acordat pentru prestarea serviciului este de minimum 12 (douăsprezece) luni calendaristice de la data semnării procesului verbal de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recepţie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serviciului.</w:t>
            </w:r>
          </w:p>
          <w:p w:rsidR="00417D8E" w:rsidRPr="00417D8E" w:rsidRDefault="00417D8E" w:rsidP="0041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</w:t>
            </w:r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n cazul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apariţiei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unor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defecţiuni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în perioada de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garanţie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tehnică, ofertantul se obligă să remedieze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defecţiunea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în maximum 10 (zece) zile calendaristice de la data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înştiinţării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prin telefon si fax, pe cheltuiala sa,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garanţia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pentru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operaţiile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efectuate începând de la finalizarea ultimei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intervenţii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.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Defecţiunile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apărute în perioada de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garanţie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serviciului vor fi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anunţate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beneficiar prin orice fel de mijloace, inclusiv (adresă fax, telefonic ele.), ofertantul având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obligaţia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a deplasa la sediul Sucursalei Electrocentrale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Işalniţa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pentru remedierea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defecţiunilor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în maximum 72 (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şaptezeci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două) de ore de la data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anunţării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</w:p>
          <w:p w:rsidR="00417D8E" w:rsidRPr="00417D8E" w:rsidRDefault="00B72EA4" w:rsidP="0041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</w:t>
            </w:r>
            <w:r w:rsidR="00417D8E"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n perioada de </w:t>
            </w:r>
            <w:proofErr w:type="spellStart"/>
            <w:r w:rsidR="00417D8E"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garanţie</w:t>
            </w:r>
            <w:proofErr w:type="spellEnd"/>
            <w:r w:rsidR="00417D8E"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tehnică, în cazul defectării accidentale, până la remedierea </w:t>
            </w:r>
            <w:proofErr w:type="spellStart"/>
            <w:r w:rsidR="00417D8E"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defecţiunii</w:t>
            </w:r>
            <w:proofErr w:type="spellEnd"/>
            <w:r w:rsidR="00417D8E"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perioada de </w:t>
            </w:r>
            <w:proofErr w:type="spellStart"/>
            <w:r w:rsidR="00417D8E"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garanţie</w:t>
            </w:r>
            <w:proofErr w:type="spellEnd"/>
            <w:r w:rsidR="00417D8E"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va fi prelungită cu intervalul cât transformatorul electric a fost indisponibil pentru reparare.</w:t>
            </w:r>
          </w:p>
          <w:p w:rsidR="00417D8E" w:rsidRPr="00417D8E" w:rsidRDefault="00417D8E" w:rsidP="0041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Remedierile în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termemil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garanţie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se vor efectua pe cheltuiala ofertantului.</w:t>
            </w:r>
          </w:p>
          <w:p w:rsidR="00417D8E" w:rsidRPr="00417D8E" w:rsidRDefault="00417D8E" w:rsidP="0041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Dacă ofertantul, după ce a fost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înştiinţat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, nu se prezintă la sediul beneficiarului în termen de 72 (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şaptezeci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două) ore de la primirea notificării, beneficiarul are dreptul de a dispune măsuri de remediere pe cheltuiala proprie, urmând ca ulterior să recupereze contravaloarea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intervenţiei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făcute, de la ofertant.</w:t>
            </w:r>
          </w:p>
          <w:p w:rsidR="00417D8E" w:rsidRPr="00E77C92" w:rsidRDefault="00417D8E" w:rsidP="0041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Ofertantul suportă toate costurile suplimentare generate de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operaţiile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necesare remedierii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neconformităţilor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încercărilor efectuate după eliminarea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neconformităţilor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pentru serviciul aflat în termenul de </w:t>
            </w:r>
            <w:proofErr w:type="spellStart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garanţie</w:t>
            </w:r>
            <w:proofErr w:type="spellEnd"/>
            <w:r w:rsidRPr="0041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417D8E" w:rsidRPr="002A7398" w:rsidRDefault="00417D8E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</w:p>
        </w:tc>
        <w:tc>
          <w:tcPr>
            <w:tcW w:w="2680" w:type="dxa"/>
            <w:shd w:val="clear" w:color="000000" w:fill="FFFFFF"/>
            <w:vAlign w:val="center"/>
          </w:tcPr>
          <w:p w:rsidR="00417D8E" w:rsidRPr="002A7398" w:rsidRDefault="00417D8E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</w:p>
        </w:tc>
      </w:tr>
      <w:tr w:rsidR="002A7398" w:rsidRPr="002A7398" w:rsidTr="00DC5A79">
        <w:trPr>
          <w:trHeight w:hRule="exact" w:val="772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4915DF" w:rsidP="004915DF">
            <w:pPr>
              <w:spacing w:after="0" w:line="240" w:lineRule="auto"/>
              <w:ind w:firstLineChars="100" w:firstLine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VI.l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Documente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şi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documentaţii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la propunere tehnică</w:t>
            </w:r>
          </w:p>
        </w:tc>
        <w:tc>
          <w:tcPr>
            <w:tcW w:w="8264" w:type="dxa"/>
            <w:shd w:val="clear" w:color="000000" w:fill="FFFFFF"/>
            <w:vAlign w:val="center"/>
          </w:tcPr>
          <w:p w:rsidR="002A7398" w:rsidRPr="002A7398" w:rsidRDefault="00292F56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9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Lista echipamentelor disponibile pentru prestarea serviciului, modul de prestare al serviciului </w:t>
            </w:r>
            <w:proofErr w:type="spellStart"/>
            <w:r w:rsidRPr="0029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29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Anexa nr. 1 fără valori financiare.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2A7398" w:rsidRPr="002A7398" w:rsidRDefault="002A7398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3336A9" w:rsidRPr="002A7398" w:rsidTr="00DC5A79">
        <w:trPr>
          <w:trHeight w:hRule="exact" w:val="772"/>
        </w:trPr>
        <w:tc>
          <w:tcPr>
            <w:tcW w:w="1080" w:type="dxa"/>
            <w:shd w:val="clear" w:color="000000" w:fill="FFFFFF"/>
            <w:vAlign w:val="center"/>
          </w:tcPr>
          <w:p w:rsidR="003336A9" w:rsidRPr="002A7398" w:rsidRDefault="003336A9" w:rsidP="00C26277">
            <w:pPr>
              <w:spacing w:after="0" w:line="240" w:lineRule="auto"/>
              <w:ind w:firstLineChars="100" w:firstLine="190"/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</w:p>
        </w:tc>
        <w:tc>
          <w:tcPr>
            <w:tcW w:w="1080" w:type="dxa"/>
            <w:shd w:val="clear" w:color="000000" w:fill="FFFFFF"/>
            <w:vAlign w:val="center"/>
          </w:tcPr>
          <w:p w:rsidR="003336A9" w:rsidRPr="002A7398" w:rsidRDefault="00A637A8" w:rsidP="00A637A8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VI.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2</w:t>
            </w: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.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336A9" w:rsidRPr="002A7398" w:rsidRDefault="003336A9" w:rsidP="00C26277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Docum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ente </w:t>
            </w:r>
            <w:proofErr w:type="spellStart"/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şi</w:t>
            </w:r>
            <w:proofErr w:type="spellEnd"/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documentaţii</w:t>
            </w:r>
            <w:proofErr w:type="spellEnd"/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la prestare</w:t>
            </w:r>
          </w:p>
        </w:tc>
        <w:tc>
          <w:tcPr>
            <w:tcW w:w="8264" w:type="dxa"/>
            <w:shd w:val="clear" w:color="000000" w:fill="FFFFFF"/>
            <w:vAlign w:val="center"/>
          </w:tcPr>
          <w:p w:rsidR="003336A9" w:rsidRPr="00292F56" w:rsidRDefault="003336A9" w:rsidP="007A7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33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Planul de Control al </w:t>
            </w:r>
            <w:proofErr w:type="spellStart"/>
            <w:r w:rsidRPr="0033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Calităţii</w:t>
            </w:r>
            <w:proofErr w:type="spellEnd"/>
            <w:r w:rsidRPr="0033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Verificări </w:t>
            </w:r>
            <w:proofErr w:type="spellStart"/>
            <w:r w:rsidRPr="0033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33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7A74B6" w:rsidRPr="0033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</w:t>
            </w:r>
            <w:r w:rsidRPr="0033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ncercări (P.C.C. V.I).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3336A9" w:rsidRPr="002A7398" w:rsidRDefault="003336A9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</w:p>
        </w:tc>
        <w:tc>
          <w:tcPr>
            <w:tcW w:w="2680" w:type="dxa"/>
            <w:shd w:val="clear" w:color="000000" w:fill="FFFFFF"/>
            <w:vAlign w:val="center"/>
          </w:tcPr>
          <w:p w:rsidR="003336A9" w:rsidRPr="002A7398" w:rsidRDefault="003336A9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</w:p>
        </w:tc>
      </w:tr>
      <w:tr w:rsidR="00AB269E" w:rsidRPr="002A7398" w:rsidTr="004F609E">
        <w:trPr>
          <w:trHeight w:val="3103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49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VI.3.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Documente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şi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documentaţii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la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recepţie</w:t>
            </w:r>
            <w:proofErr w:type="spellEnd"/>
          </w:p>
        </w:tc>
        <w:tc>
          <w:tcPr>
            <w:tcW w:w="8264" w:type="dxa"/>
            <w:vMerge w:val="restart"/>
            <w:shd w:val="clear" w:color="000000" w:fill="FFFFFF"/>
            <w:vAlign w:val="center"/>
          </w:tcPr>
          <w:p w:rsidR="002D4645" w:rsidRPr="002D4645" w:rsidRDefault="002D4645" w:rsidP="002D4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Prestatorul serviciului va prezenta la </w:t>
            </w:r>
            <w:proofErr w:type="spellStart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recepţie</w:t>
            </w:r>
            <w:proofErr w:type="spellEnd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următoarele documente:</w:t>
            </w:r>
          </w:p>
          <w:p w:rsidR="002D4645" w:rsidRPr="002D4645" w:rsidRDefault="002D4645" w:rsidP="002D4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 certificatul de </w:t>
            </w:r>
            <w:proofErr w:type="spellStart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garanţie</w:t>
            </w:r>
            <w:proofErr w:type="spellEnd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al prestării serviciului;</w:t>
            </w:r>
          </w:p>
          <w:p w:rsidR="002D4645" w:rsidRPr="002D4645" w:rsidRDefault="002D4645" w:rsidP="002D4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 certificatul de conformitate al prestării serviciului;</w:t>
            </w:r>
          </w:p>
          <w:p w:rsidR="002D4645" w:rsidRPr="002D4645" w:rsidRDefault="002D4645" w:rsidP="002D4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 </w:t>
            </w:r>
            <w:proofErr w:type="spellStart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declaraţia</w:t>
            </w:r>
            <w:proofErr w:type="spellEnd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conformitate pentru prestarea serviciului, întocmită de furnizor conformitate cu SR EN</w:t>
            </w:r>
            <w:r w:rsidR="004F6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ISO/CE</w:t>
            </w:r>
            <w:r w:rsidR="004F6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I </w:t>
            </w:r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17050-1:2010. Evaluarea </w:t>
            </w:r>
            <w:proofErr w:type="spellStart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conformităţii</w:t>
            </w:r>
            <w:proofErr w:type="spellEnd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. </w:t>
            </w:r>
            <w:proofErr w:type="spellStart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Declaraţia</w:t>
            </w:r>
            <w:proofErr w:type="spellEnd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conformitate dată de furnizor. Partea 1: </w:t>
            </w:r>
            <w:proofErr w:type="spellStart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Cerinţe</w:t>
            </w:r>
            <w:proofErr w:type="spellEnd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generale, sau echivalent.</w:t>
            </w:r>
          </w:p>
          <w:p w:rsidR="002D4645" w:rsidRPr="002D4645" w:rsidRDefault="002D4645" w:rsidP="002D4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 buletine de verificare ulei electroizolant;</w:t>
            </w:r>
          </w:p>
          <w:p w:rsidR="002D4645" w:rsidRPr="002D4645" w:rsidRDefault="002D4645" w:rsidP="002D4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 buletine de măsurători profilactice conform PE 116/20111994-Normativ de </w:t>
            </w:r>
            <w:proofErr w:type="spellStart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incercari</w:t>
            </w:r>
            <w:proofErr w:type="spellEnd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si măsurători la echipamente si </w:t>
            </w:r>
            <w:proofErr w:type="spellStart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instalaţii</w:t>
            </w:r>
            <w:proofErr w:type="spellEnd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electrice.</w:t>
            </w:r>
          </w:p>
          <w:p w:rsidR="00AB269E" w:rsidRDefault="002D4645" w:rsidP="002D4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Documentele </w:t>
            </w:r>
            <w:proofErr w:type="spellStart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documentaţiile</w:t>
            </w:r>
            <w:proofErr w:type="spellEnd"/>
            <w:r w:rsidRPr="002D4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se vor prezenta în limba română.</w:t>
            </w:r>
          </w:p>
          <w:p w:rsidR="004F609E" w:rsidRDefault="004F609E" w:rsidP="002D4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B64945" w:rsidRPr="00B64945" w:rsidRDefault="00B64945" w:rsidP="00B6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Locaţia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unde se face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recepţia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: sediul Sucursalei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Electrocentra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/e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Işalniţa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</w:p>
          <w:p w:rsidR="00B64945" w:rsidRPr="00B64945" w:rsidRDefault="00B64945" w:rsidP="00B6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Recepţia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serviciului se va face în termen de maxim 3 (trei) zile calendaristice de la finalizarea acestuia.</w:t>
            </w:r>
          </w:p>
          <w:p w:rsidR="00B64945" w:rsidRPr="00B64945" w:rsidRDefault="00B64945" w:rsidP="00B6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Beneficiarul are dreptul să amâne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recepţia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sau să nu efectueze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recepţia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serviciului dacă la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recepţie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comisia de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recepţie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prestării serviciului constată că, în urma efectuării probelor de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funcţionare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în gol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în sarcină, transformatorul electric nu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funcţionează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în parametrii normali de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funcţionare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caz în care prestatorul este obligat remedieze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defecţiunile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în maximum 10 (zece) zile calendaristice de la constatarea comisiei de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recepţie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fără costuri suplimentare pentru beneficiar. înaintea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recepţionării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serviciului de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reparaţie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reprezentanţii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beneficiarului vor efectua verificări privind calitatea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execuţiei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operaţiilor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</w:p>
          <w:p w:rsidR="00B64945" w:rsidRPr="00B64945" w:rsidRDefault="00B64945" w:rsidP="00B6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Prestatorul are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obligaţia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a preda, odată cu finalizarea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prestaţiilor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toate materialele recuperate, rezultate în urma prestării serviciului.</w:t>
            </w:r>
          </w:p>
          <w:p w:rsidR="00B64945" w:rsidRPr="00B64945" w:rsidRDefault="00B64945" w:rsidP="00B6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Dacă toate verificările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încercările în gol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în sarcină au fost efectuate cu succes, se va elabora „Procesul verbal de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recepţie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reparaţiei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", semnat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ştampilat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către ambele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părţi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contractante. Procesul verbal de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recepţie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reparaţiei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transformatorului electric, nu se va semna de către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reprezentanţii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beneficiarului până acesta nu va primi de la prestator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declaraţia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conformitate, certificatul de conformitate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certificatul de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garanţie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pentru prestarea serviciului.</w:t>
            </w:r>
          </w:p>
          <w:p w:rsidR="00B64945" w:rsidRPr="00B64945" w:rsidRDefault="00B64945" w:rsidP="00B6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Recepţia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se consideră încheiată numai după ce prestatorul va răspunde în totalitate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cerinţelor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tehnice impuse prin prezentul caiet de sarcini.</w:t>
            </w:r>
          </w:p>
          <w:p w:rsidR="00945734" w:rsidRDefault="00B64945" w:rsidP="00B6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 xml:space="preserve">Prestatorul va suporta toate costurile generate de eliminarea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neconformităţilor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apărute la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recepţie</w:t>
            </w:r>
            <w:proofErr w:type="spellEnd"/>
            <w:r w:rsidR="0094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  <w:p w:rsidR="00B64945" w:rsidRPr="00B64945" w:rsidRDefault="00945734" w:rsidP="00B6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</w:t>
            </w:r>
            <w:r w:rsidR="00B64945"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n caz de </w:t>
            </w:r>
            <w:proofErr w:type="spellStart"/>
            <w:r w:rsidR="00B64945"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neconformităţi</w:t>
            </w:r>
            <w:proofErr w:type="spellEnd"/>
            <w:r w:rsidR="00B64945"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apărute la </w:t>
            </w:r>
            <w:proofErr w:type="spellStart"/>
            <w:r w:rsidR="00B64945"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recepţie</w:t>
            </w:r>
            <w:proofErr w:type="spellEnd"/>
            <w:r w:rsidR="00B64945"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constatate în timpul efectuărilor testelor, comisia va solicita prestatorului remedierea </w:t>
            </w:r>
            <w:proofErr w:type="spellStart"/>
            <w:r w:rsidR="00B64945"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neconformităţilor</w:t>
            </w:r>
            <w:proofErr w:type="spellEnd"/>
            <w:r w:rsidR="00B64945"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fără a modifica valoarea contractului, în termen de maximum 10 (zece) zile calendaristice, pe cheltuială proprie. In cazul </w:t>
            </w:r>
            <w:proofErr w:type="spellStart"/>
            <w:r w:rsidR="00B64945"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neconformităţilor</w:t>
            </w:r>
            <w:proofErr w:type="spellEnd"/>
            <w:r w:rsidR="00B64945"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constatate la </w:t>
            </w:r>
            <w:proofErr w:type="spellStart"/>
            <w:r w:rsidR="00B64945"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recepţie</w:t>
            </w:r>
            <w:proofErr w:type="spellEnd"/>
            <w:r w:rsidR="00B64945"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, se va proceda astfel:</w:t>
            </w:r>
          </w:p>
          <w:p w:rsidR="00B64945" w:rsidRPr="00B64945" w:rsidRDefault="00B64945" w:rsidP="00B6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 beneficiarul va transmite o adresă scrisă prin fax/e-mai! prestatorului,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însoţită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„ Raport de neconformitate - servicii furnizate din exterior ", cod F02-PS-07 (Anexa nr. 2 la caietul de sarcini);</w:t>
            </w:r>
          </w:p>
          <w:p w:rsidR="00B64945" w:rsidRPr="00B64945" w:rsidRDefault="00B64945" w:rsidP="00B6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 prestatorul va trimite un reprezentant în maximum 3 zile lucrătoare de la data sesizării scrise, care, împreună cu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reprezentanţii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beneficiarului vor analiza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neconformităţile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stabilind cauzele, termenul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modul de remediere a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neconformităţilor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</w:p>
          <w:p w:rsidR="00B64945" w:rsidRPr="002A7398" w:rsidRDefault="00B64945" w:rsidP="00B6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Termenul de remediere a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neconformităţilor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aparate le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recepţie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il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precizaţi</w:t>
            </w:r>
            <w:proofErr w:type="spellEnd"/>
            <w:r w:rsidRPr="00B6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in paragraful de mai sus- maximum 10 zile calendaristice.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lastRenderedPageBreak/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AB269E" w:rsidRPr="002A7398" w:rsidTr="00693290">
        <w:trPr>
          <w:trHeight w:val="5039"/>
        </w:trPr>
        <w:tc>
          <w:tcPr>
            <w:tcW w:w="1080" w:type="dxa"/>
            <w:shd w:val="clear" w:color="000000" w:fill="FFFFFF"/>
            <w:hideMark/>
          </w:tcPr>
          <w:p w:rsidR="00A44996" w:rsidRDefault="00A44996" w:rsidP="00693290">
            <w:pPr>
              <w:spacing w:after="0" w:line="240" w:lineRule="auto"/>
              <w:ind w:firstLineChars="100" w:firstLine="19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</w:p>
          <w:p w:rsidR="00AB269E" w:rsidRPr="002A7398" w:rsidRDefault="00DE6ED7" w:rsidP="00693290">
            <w:pPr>
              <w:spacing w:after="0" w:line="240" w:lineRule="auto"/>
              <w:ind w:firstLineChars="100" w:firstLine="19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9</w:t>
            </w:r>
          </w:p>
        </w:tc>
        <w:tc>
          <w:tcPr>
            <w:tcW w:w="1080" w:type="dxa"/>
            <w:shd w:val="clear" w:color="000000" w:fill="FFFFFF"/>
            <w:hideMark/>
          </w:tcPr>
          <w:p w:rsidR="00A44996" w:rsidRDefault="00A44996" w:rsidP="006932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</w:p>
          <w:p w:rsidR="00AB269E" w:rsidRPr="002A7398" w:rsidRDefault="00AB269E" w:rsidP="006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VII.l</w:t>
            </w:r>
            <w:proofErr w:type="spellEnd"/>
          </w:p>
        </w:tc>
        <w:tc>
          <w:tcPr>
            <w:tcW w:w="1620" w:type="dxa"/>
            <w:shd w:val="clear" w:color="000000" w:fill="FFFFFF"/>
            <w:hideMark/>
          </w:tcPr>
          <w:p w:rsidR="00A44996" w:rsidRDefault="00A44996" w:rsidP="006932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</w:p>
          <w:p w:rsidR="00AB269E" w:rsidRPr="002A7398" w:rsidRDefault="00AB269E" w:rsidP="006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Cerinţe</w:t>
            </w:r>
            <w:proofErr w:type="spellEnd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 privind </w:t>
            </w:r>
            <w:proofErr w:type="spellStart"/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recepţiile</w:t>
            </w:r>
            <w:proofErr w:type="spellEnd"/>
          </w:p>
        </w:tc>
        <w:tc>
          <w:tcPr>
            <w:tcW w:w="8264" w:type="dxa"/>
            <w:vMerge/>
            <w:shd w:val="clear" w:color="000000" w:fill="FFFFFF"/>
            <w:vAlign w:val="center"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  <w:tr w:rsidR="005E05D4" w:rsidRPr="002A7398" w:rsidTr="00C26277">
        <w:trPr>
          <w:trHeight w:val="2835"/>
        </w:trPr>
        <w:tc>
          <w:tcPr>
            <w:tcW w:w="1080" w:type="dxa"/>
            <w:shd w:val="clear" w:color="000000" w:fill="FFFFFF"/>
            <w:vAlign w:val="center"/>
          </w:tcPr>
          <w:p w:rsidR="005E05D4" w:rsidRPr="002A7398" w:rsidRDefault="00DE6ED7" w:rsidP="00D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10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5E05D4" w:rsidRPr="002A7398" w:rsidRDefault="00DE6ED7" w:rsidP="00DE6E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VII.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2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5E05D4" w:rsidRPr="002A7398" w:rsidRDefault="005E05D4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Teste</w:t>
            </w:r>
          </w:p>
        </w:tc>
        <w:tc>
          <w:tcPr>
            <w:tcW w:w="8264" w:type="dxa"/>
            <w:shd w:val="clear" w:color="000000" w:fill="FFFFFF"/>
            <w:vAlign w:val="center"/>
          </w:tcPr>
          <w:p w:rsidR="005E05D4" w:rsidRPr="005E05D4" w:rsidRDefault="005E05D4" w:rsidP="005E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După finalizarea prestării serviciului, se vor efectua următoarele teste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verificări minimale de către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reprezentanţii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prestatorului împreună cu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reprezentanţii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beneficiarului:</w:t>
            </w:r>
          </w:p>
          <w:p w:rsidR="005E05D4" w:rsidRPr="005E05D4" w:rsidRDefault="005E05D4" w:rsidP="005E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-se verifică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rezistenţa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ohmică a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înfăşurărilor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trafo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respectiv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rezistenţa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izolaţie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acestora;</w:t>
            </w:r>
          </w:p>
          <w:p w:rsidR="005E05D4" w:rsidRDefault="005E05D4" w:rsidP="005E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-după confirmarea TRANSELECTR</w:t>
            </w:r>
            <w:r w:rsidR="00C27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</w:t>
            </w:r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CA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Secţiei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PRAM- AMC — S. E.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Işalniţa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, conform căreia s-au finalizat verificările la circuitele de comandă, blocaje, semnalizări, se pune sub tensiune 3TDE2, pe bara 1 - 220 kV;</w:t>
            </w:r>
          </w:p>
          <w:p w:rsidR="005E05D4" w:rsidRPr="005E05D4" w:rsidRDefault="005E05D4" w:rsidP="005E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-se verifică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fazarea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tensiunilor între celula de măsură sosire cabluri 3TDE2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celula măsură bară în stafia 3EMG1;</w:t>
            </w:r>
          </w:p>
          <w:p w:rsidR="005E05D4" w:rsidRPr="005E05D4" w:rsidRDefault="005E05D4" w:rsidP="005E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-se alimentează 3TDE2 din bara 2 - 220 kV;</w:t>
            </w:r>
          </w:p>
          <w:p w:rsidR="005E05D4" w:rsidRPr="005E05D4" w:rsidRDefault="005E05D4" w:rsidP="005E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-se verifica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fazarea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tensiunilor între celula de măsură sosire cabluri 3TDE2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celula măsură bară în stafia 3EMG1;</w:t>
            </w:r>
          </w:p>
          <w:p w:rsidR="005E05D4" w:rsidRPr="005E05D4" w:rsidRDefault="005E05D4" w:rsidP="005E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-se alimentează stafiile 3EMG1, 3EMG2 din transformatorul 3TDE2 si se verifică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prezenţa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curenţilor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în secundarele transformatoarelor de curent;</w:t>
            </w:r>
          </w:p>
          <w:p w:rsidR="005E05D4" w:rsidRPr="005E05D4" w:rsidRDefault="005E05D4" w:rsidP="005E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-se alimentează stafiile </w:t>
            </w:r>
            <w:r w:rsidR="00C27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EMA, 1EMB din 3EMG1, 3EMG2;</w:t>
            </w:r>
          </w:p>
          <w:p w:rsidR="005E05D4" w:rsidRPr="005E05D4" w:rsidRDefault="005E05D4" w:rsidP="005E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-se revine la schema normală.</w:t>
            </w:r>
          </w:p>
          <w:p w:rsidR="005E05D4" w:rsidRPr="005E05D4" w:rsidRDefault="00C27105" w:rsidP="005E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</w:t>
            </w:r>
            <w:r w:rsidR="005E05D4"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n caz de </w:t>
            </w:r>
            <w:proofErr w:type="spellStart"/>
            <w:r w:rsidR="005E05D4"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neconformităţi</w:t>
            </w:r>
            <w:proofErr w:type="spellEnd"/>
            <w:r w:rsidR="005E05D4"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apărute în timpul efectuărilor testelor, comisia va solicita prestatorului remedierea </w:t>
            </w:r>
            <w:proofErr w:type="spellStart"/>
            <w:r w:rsidR="005E05D4"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neconformităfilor</w:t>
            </w:r>
            <w:proofErr w:type="spellEnd"/>
            <w:r w:rsidR="005E05D4"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fără a modifica valoarea contractului, în termen de maximum 10 (zece) zile calendaristice de la constatarea </w:t>
            </w:r>
            <w:proofErr w:type="spellStart"/>
            <w:r w:rsidR="005E05D4"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neconformitatilor</w:t>
            </w:r>
            <w:proofErr w:type="spellEnd"/>
            <w:r w:rsidR="005E05D4"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pe cheltuială proprie. </w:t>
            </w:r>
            <w:bookmarkStart w:id="0" w:name="_GoBack"/>
            <w:r w:rsidR="003C7A92"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</w:t>
            </w:r>
            <w:bookmarkEnd w:id="0"/>
            <w:r w:rsidR="005E05D4"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n cazul </w:t>
            </w:r>
            <w:proofErr w:type="spellStart"/>
            <w:r w:rsidR="005E05D4"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neconformităfilor</w:t>
            </w:r>
            <w:proofErr w:type="spellEnd"/>
            <w:r w:rsidR="005E05D4"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constatate în timpul testelor, se va proceda astfel:</w:t>
            </w:r>
          </w:p>
          <w:p w:rsidR="005E05D4" w:rsidRPr="005E05D4" w:rsidRDefault="005E05D4" w:rsidP="005E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 beneficiarul va transmite o adresă scrisă prin fax/e-mail prestatorului,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însofită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„ Raport de neconform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itate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- servicii furnizate din exterior", cod F02-PS-07 (Anexa nr. 2 la caietul de sarcini);</w:t>
            </w:r>
          </w:p>
          <w:p w:rsidR="005E05D4" w:rsidRPr="002A7398" w:rsidRDefault="005E05D4" w:rsidP="005E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 prestatorul va trimite un reprezentant în maximum 3 zile lucrătoare de la data sesizării scrise, care, împreună cu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reprezentanţii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beneficiarului vor analiza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neconformităfile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stabilind cauzele, termenul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modul de remediere a </w:t>
            </w:r>
            <w:proofErr w:type="spellStart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neconformităfilor</w:t>
            </w:r>
            <w:proofErr w:type="spellEnd"/>
            <w:r w:rsidRPr="005E0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5E05D4" w:rsidRPr="002A7398" w:rsidRDefault="005E05D4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</w:p>
        </w:tc>
        <w:tc>
          <w:tcPr>
            <w:tcW w:w="2680" w:type="dxa"/>
            <w:shd w:val="clear" w:color="000000" w:fill="FFFFFF"/>
            <w:vAlign w:val="center"/>
          </w:tcPr>
          <w:p w:rsidR="005E05D4" w:rsidRPr="002A7398" w:rsidRDefault="005E05D4" w:rsidP="00C2627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</w:pPr>
          </w:p>
        </w:tc>
      </w:tr>
      <w:tr w:rsidR="00AB269E" w:rsidRPr="002A7398" w:rsidTr="00C26277">
        <w:trPr>
          <w:trHeight w:val="2835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D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1</w:t>
            </w:r>
            <w:r w:rsidR="00DE6ED7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VIII.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</w:pPr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 xml:space="preserve">Alte </w:t>
            </w:r>
            <w:proofErr w:type="spellStart"/>
            <w:r w:rsidRPr="002A739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o-RO"/>
              </w:rPr>
              <w:t>cerinţe</w:t>
            </w:r>
            <w:proofErr w:type="spellEnd"/>
          </w:p>
        </w:tc>
        <w:tc>
          <w:tcPr>
            <w:tcW w:w="8264" w:type="dxa"/>
            <w:shd w:val="clear" w:color="000000" w:fill="FFFFFF"/>
            <w:vAlign w:val="center"/>
            <w:hideMark/>
          </w:tcPr>
          <w:p w:rsidR="009E2633" w:rsidRPr="009E2633" w:rsidRDefault="009E2633" w:rsidP="009E2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Pe perioada prestării serviciului, prestatorul va trebui să respecte reglementările obligatorii privind aplicarea normelor de securitatea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sănătatea în muncă, prevenirea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stingerea incendiilor,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protecţia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mediului, respectiv pentru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situafii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urgenţă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fiind direct responsabil de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consecinfele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nerespectării acestora:</w:t>
            </w:r>
          </w:p>
          <w:p w:rsidR="009E2633" w:rsidRPr="009E2633" w:rsidRDefault="009E2633" w:rsidP="009E2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 Legea Parlamentului României nr. 319/14.07.2006 a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securităţii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sănătăţii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în muncă, cu toate modificările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completările ulterioare;</w:t>
            </w:r>
          </w:p>
          <w:p w:rsidR="009E2633" w:rsidRPr="009E2633" w:rsidRDefault="009E2633" w:rsidP="009E2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Ordonanţa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urgenţă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Guvernului României nr. 195/22.12.2005 privind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protecţia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mediului, cu toate modificările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completările ulterioare;</w:t>
            </w:r>
          </w:p>
          <w:p w:rsidR="009E2633" w:rsidRPr="009E2633" w:rsidRDefault="009E2633" w:rsidP="009E2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- Legea Parlamentului României nr. 307/12.07.2006 privind apărarea contra incendiilor, cu modificările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completările ulterioare.</w:t>
            </w:r>
          </w:p>
          <w:p w:rsidR="009E2633" w:rsidRPr="009E2633" w:rsidRDefault="009E2633" w:rsidP="009E2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Prestatorul serviciului va răspunde de integritatea transformatorului electric pe perioada prestării serviciului, de produsele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bunurile aferente transformatoarelor, de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operaţii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neautorizate sau eventuale accidente survenite pe toată perioada prestării serviciului, până la finalizarea prestării serviciului.</w:t>
            </w:r>
          </w:p>
          <w:p w:rsidR="00AB269E" w:rsidRPr="002A7398" w:rsidRDefault="009E2633" w:rsidP="009E2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Toate </w:t>
            </w:r>
            <w:proofErr w:type="spellStart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deşeurile</w:t>
            </w:r>
            <w:proofErr w:type="spellEnd"/>
            <w:r w:rsidRPr="009E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rezultate în urma efectuării serviciului vor fi predate beneficiarului pe baza de proces verbal.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AB269E" w:rsidRPr="002A7398" w:rsidRDefault="00AB269E" w:rsidP="00C2627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o-RO"/>
              </w:rPr>
            </w:pPr>
            <w:r w:rsidRPr="002A7398">
              <w:rPr>
                <w:rFonts w:ascii="Arial Unicode MS" w:eastAsia="Arial Unicode MS" w:hAnsi="Arial Unicode MS" w:cs="Arial Unicode MS" w:hint="eastAsia"/>
                <w:color w:val="000000"/>
                <w:sz w:val="10"/>
                <w:szCs w:val="10"/>
                <w:lang w:eastAsia="ro-RO"/>
              </w:rPr>
              <w:t> </w:t>
            </w:r>
          </w:p>
        </w:tc>
      </w:tr>
    </w:tbl>
    <w:p w:rsidR="009C0B5D" w:rsidRDefault="009C0B5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86D" w:rsidRPr="00EC086D" w:rsidRDefault="00EC086D" w:rsidP="00C26277">
      <w:pPr>
        <w:spacing w:after="0" w:line="240" w:lineRule="auto"/>
        <w:jc w:val="both"/>
        <w:rPr>
          <w:rStyle w:val="l5def1"/>
          <w:rFonts w:ascii="Times New Roman" w:hAnsi="Times New Roman"/>
          <w:color w:val="FF0000"/>
          <w:sz w:val="24"/>
          <w:szCs w:val="24"/>
        </w:rPr>
      </w:pPr>
      <w:r w:rsidRPr="00EC086D">
        <w:rPr>
          <w:rStyle w:val="l5def1"/>
          <w:rFonts w:ascii="Times New Roman" w:hAnsi="Times New Roman"/>
          <w:color w:val="FF0000"/>
          <w:sz w:val="24"/>
          <w:szCs w:val="24"/>
        </w:rPr>
        <w:t>Ofertanții vor completa coloana „</w:t>
      </w:r>
      <w:r w:rsidRPr="00EC086D">
        <w:rPr>
          <w:rStyle w:val="l5def1"/>
          <w:rFonts w:ascii="Times New Roman" w:hAnsi="Times New Roman"/>
          <w:b/>
          <w:color w:val="FF0000"/>
          <w:sz w:val="24"/>
          <w:szCs w:val="24"/>
        </w:rPr>
        <w:t>4</w:t>
      </w:r>
      <w:r w:rsidRPr="00EC086D">
        <w:rPr>
          <w:rStyle w:val="l5def1"/>
          <w:rFonts w:ascii="Times New Roman" w:hAnsi="Times New Roman"/>
          <w:color w:val="FF0000"/>
          <w:sz w:val="24"/>
          <w:szCs w:val="24"/>
        </w:rPr>
        <w:t xml:space="preserve">”din tabel </w:t>
      </w:r>
      <w:r w:rsidRPr="00EC086D">
        <w:rPr>
          <w:rStyle w:val="l5def1"/>
          <w:rFonts w:ascii="Times New Roman" w:hAnsi="Times New Roman"/>
          <w:color w:val="FF0000"/>
          <w:sz w:val="24"/>
          <w:szCs w:val="24"/>
          <w:lang w:val="en-GB"/>
        </w:rPr>
        <w:t>[</w:t>
      </w:r>
      <w:r w:rsidRPr="00EC086D">
        <w:rPr>
          <w:rStyle w:val="l5def1"/>
          <w:rFonts w:ascii="Times New Roman" w:hAnsi="Times New Roman"/>
          <w:color w:val="FF0000"/>
          <w:sz w:val="24"/>
          <w:szCs w:val="24"/>
        </w:rPr>
        <w:t>fără a menționa „</w:t>
      </w:r>
      <w:r w:rsidRPr="00EC086D">
        <w:rPr>
          <w:rStyle w:val="l5def1"/>
          <w:rFonts w:ascii="Times New Roman" w:hAnsi="Times New Roman"/>
          <w:iCs/>
          <w:color w:val="FF0000"/>
          <w:sz w:val="24"/>
          <w:szCs w:val="24"/>
        </w:rPr>
        <w:t>conform (sub)capitolul...</w:t>
      </w:r>
      <w:r w:rsidRPr="00EC086D">
        <w:rPr>
          <w:rStyle w:val="l5def1"/>
          <w:rFonts w:ascii="Times New Roman" w:hAnsi="Times New Roman"/>
          <w:color w:val="FF0000"/>
          <w:sz w:val="24"/>
          <w:szCs w:val="24"/>
        </w:rPr>
        <w:t>”], respectiv coloana „</w:t>
      </w:r>
      <w:r w:rsidRPr="00EC086D">
        <w:rPr>
          <w:rStyle w:val="l5def1"/>
          <w:rFonts w:ascii="Times New Roman" w:hAnsi="Times New Roman"/>
          <w:b/>
          <w:color w:val="FF0000"/>
          <w:sz w:val="24"/>
          <w:szCs w:val="24"/>
        </w:rPr>
        <w:t>5</w:t>
      </w:r>
      <w:r w:rsidRPr="00EC086D">
        <w:rPr>
          <w:rStyle w:val="l5def1"/>
          <w:rFonts w:ascii="Times New Roman" w:hAnsi="Times New Roman"/>
          <w:color w:val="FF0000"/>
          <w:sz w:val="24"/>
          <w:szCs w:val="24"/>
        </w:rPr>
        <w:t>”.</w:t>
      </w:r>
    </w:p>
    <w:p w:rsidR="00EC086D" w:rsidRPr="006D309B" w:rsidRDefault="00EC086D" w:rsidP="00C26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086D" w:rsidRPr="006D309B" w:rsidSect="009C0B5D">
      <w:pgSz w:w="16838" w:h="11906" w:orient="landscape" w:code="9"/>
      <w:pgMar w:top="1418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32B" w:rsidRDefault="00D8332B" w:rsidP="00B05501">
      <w:pPr>
        <w:spacing w:after="0" w:line="240" w:lineRule="auto"/>
      </w:pPr>
      <w:r>
        <w:separator/>
      </w:r>
    </w:p>
  </w:endnote>
  <w:endnote w:type="continuationSeparator" w:id="0">
    <w:p w:rsidR="00D8332B" w:rsidRDefault="00D8332B" w:rsidP="00B0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2870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5501" w:rsidRDefault="00B055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A9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5501" w:rsidRDefault="00B05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32B" w:rsidRDefault="00D8332B" w:rsidP="00B05501">
      <w:pPr>
        <w:spacing w:after="0" w:line="240" w:lineRule="auto"/>
      </w:pPr>
      <w:r>
        <w:separator/>
      </w:r>
    </w:p>
  </w:footnote>
  <w:footnote w:type="continuationSeparator" w:id="0">
    <w:p w:rsidR="00D8332B" w:rsidRDefault="00D8332B" w:rsidP="00B05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15DC"/>
    <w:multiLevelType w:val="hybridMultilevel"/>
    <w:tmpl w:val="F93E4880"/>
    <w:lvl w:ilvl="0" w:tplc="0418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b w:val="0"/>
      </w:rPr>
    </w:lvl>
    <w:lvl w:ilvl="1" w:tplc="0418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54672F6B"/>
    <w:multiLevelType w:val="hybridMultilevel"/>
    <w:tmpl w:val="8AB0006A"/>
    <w:lvl w:ilvl="0" w:tplc="DA0C7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F270E"/>
    <w:multiLevelType w:val="hybridMultilevel"/>
    <w:tmpl w:val="F17CDE3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6B016189"/>
    <w:multiLevelType w:val="hybridMultilevel"/>
    <w:tmpl w:val="0C8E21D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56"/>
    <w:rsid w:val="0001594C"/>
    <w:rsid w:val="00122EFF"/>
    <w:rsid w:val="00130456"/>
    <w:rsid w:val="00270E8A"/>
    <w:rsid w:val="00292F56"/>
    <w:rsid w:val="002A7398"/>
    <w:rsid w:val="002D4645"/>
    <w:rsid w:val="002D7DF6"/>
    <w:rsid w:val="003336A9"/>
    <w:rsid w:val="003B06C1"/>
    <w:rsid w:val="003C7A92"/>
    <w:rsid w:val="00417D8E"/>
    <w:rsid w:val="00454645"/>
    <w:rsid w:val="004915DF"/>
    <w:rsid w:val="004A4BB8"/>
    <w:rsid w:val="004F609E"/>
    <w:rsid w:val="004F73E1"/>
    <w:rsid w:val="005349A4"/>
    <w:rsid w:val="0055297B"/>
    <w:rsid w:val="00564DB1"/>
    <w:rsid w:val="005B159B"/>
    <w:rsid w:val="005E05D4"/>
    <w:rsid w:val="005E7DB6"/>
    <w:rsid w:val="00693290"/>
    <w:rsid w:val="00697960"/>
    <w:rsid w:val="006D309B"/>
    <w:rsid w:val="00723170"/>
    <w:rsid w:val="0073206E"/>
    <w:rsid w:val="00757169"/>
    <w:rsid w:val="00764C08"/>
    <w:rsid w:val="007A74B6"/>
    <w:rsid w:val="007E01A9"/>
    <w:rsid w:val="008067D9"/>
    <w:rsid w:val="008916FB"/>
    <w:rsid w:val="00905C39"/>
    <w:rsid w:val="00945734"/>
    <w:rsid w:val="009545C2"/>
    <w:rsid w:val="009809D7"/>
    <w:rsid w:val="009C0B5D"/>
    <w:rsid w:val="009E2633"/>
    <w:rsid w:val="00A348D6"/>
    <w:rsid w:val="00A44996"/>
    <w:rsid w:val="00A637A8"/>
    <w:rsid w:val="00A86637"/>
    <w:rsid w:val="00AB269E"/>
    <w:rsid w:val="00AC2601"/>
    <w:rsid w:val="00B05501"/>
    <w:rsid w:val="00B26257"/>
    <w:rsid w:val="00B64945"/>
    <w:rsid w:val="00B72EA4"/>
    <w:rsid w:val="00C26277"/>
    <w:rsid w:val="00C27105"/>
    <w:rsid w:val="00CC2BD3"/>
    <w:rsid w:val="00CE1485"/>
    <w:rsid w:val="00D2634D"/>
    <w:rsid w:val="00D8332B"/>
    <w:rsid w:val="00D87305"/>
    <w:rsid w:val="00DB40F0"/>
    <w:rsid w:val="00DC5A79"/>
    <w:rsid w:val="00DE6ED7"/>
    <w:rsid w:val="00E22E3C"/>
    <w:rsid w:val="00E64626"/>
    <w:rsid w:val="00E77C92"/>
    <w:rsid w:val="00EC086D"/>
    <w:rsid w:val="00EC22D1"/>
    <w:rsid w:val="00EC7633"/>
    <w:rsid w:val="00F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7D8ED-3779-48B6-8C3F-EDEE7163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456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eastAsiaTheme="majorEastAsia" w:cstheme="majorBidi"/>
      <w:b/>
      <w:bCs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4heading">
    <w:name w:val="Section 4 heading"/>
    <w:basedOn w:val="Normal"/>
    <w:next w:val="Normal"/>
    <w:uiPriority w:val="99"/>
    <w:rsid w:val="00130456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val="en-US"/>
    </w:rPr>
  </w:style>
  <w:style w:type="paragraph" w:styleId="ListParagraph">
    <w:name w:val="List Paragraph"/>
    <w:aliases w:val="Forth level,Normal bullet 2,List Paragraph1,body 2,Citation List,본문(내용),List Paragraph (numbered (a)),Listă paragraf2,Listă paragraf1"/>
    <w:basedOn w:val="Normal"/>
    <w:link w:val="ListParagraphChar"/>
    <w:uiPriority w:val="34"/>
    <w:qFormat/>
    <w:rsid w:val="00130456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Forth level Char,Normal bullet 2 Char,List Paragraph1 Char,body 2 Char,Citation List Char,본문(내용) Char,List Paragraph (numbered (a)) Char,Listă paragraf2 Char,Listă paragraf1 Char"/>
    <w:link w:val="ListParagraph"/>
    <w:uiPriority w:val="34"/>
    <w:qFormat/>
    <w:locked/>
    <w:rsid w:val="001304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30456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01"/>
  </w:style>
  <w:style w:type="paragraph" w:styleId="Footer">
    <w:name w:val="footer"/>
    <w:basedOn w:val="Normal"/>
    <w:link w:val="FooterChar"/>
    <w:uiPriority w:val="99"/>
    <w:unhideWhenUsed/>
    <w:rsid w:val="00B0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01"/>
  </w:style>
  <w:style w:type="character" w:customStyle="1" w:styleId="l5def1">
    <w:name w:val="l5def1"/>
    <w:rsid w:val="009C0B5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2179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Istrate</dc:creator>
  <cp:keywords/>
  <dc:description/>
  <cp:lastModifiedBy>Dan Istrate</cp:lastModifiedBy>
  <cp:revision>54</cp:revision>
  <dcterms:created xsi:type="dcterms:W3CDTF">2022-04-15T07:41:00Z</dcterms:created>
  <dcterms:modified xsi:type="dcterms:W3CDTF">2023-12-05T07:49:00Z</dcterms:modified>
</cp:coreProperties>
</file>